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15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5"/>
        <w:gridCol w:w="6070"/>
      </w:tblGrid>
      <w:tr w:rsidR="008E6FF7" w:rsidRPr="00C4385C" w14:paraId="5F99CFA1" w14:textId="77777777" w:rsidTr="003A7BA4">
        <w:tc>
          <w:tcPr>
            <w:tcW w:w="1850" w:type="pct"/>
            <w:vAlign w:val="center"/>
          </w:tcPr>
          <w:p w14:paraId="79A7E4F2" w14:textId="4F0814BD" w:rsidR="008E6FF7" w:rsidRPr="00C4385C" w:rsidRDefault="008E6FF7" w:rsidP="008E6FF7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150" w:type="pct"/>
            <w:vAlign w:val="center"/>
          </w:tcPr>
          <w:p w14:paraId="175DBC3F" w14:textId="0FD99108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5EE9">
              <w:rPr>
                <w:lang w:val="ro-RO"/>
              </w:rPr>
              <w:t>Universitatea de Vest din Timișoara</w:t>
            </w:r>
          </w:p>
        </w:tc>
      </w:tr>
      <w:tr w:rsidR="008E6FF7" w:rsidRPr="00C4385C" w14:paraId="09F1F378" w14:textId="77777777" w:rsidTr="003A7BA4">
        <w:tc>
          <w:tcPr>
            <w:tcW w:w="1850" w:type="pct"/>
            <w:vAlign w:val="center"/>
          </w:tcPr>
          <w:p w14:paraId="2ABF2C34" w14:textId="77777777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150" w:type="pct"/>
            <w:vAlign w:val="center"/>
          </w:tcPr>
          <w:p w14:paraId="0F5209E3" w14:textId="289DAB5D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5EE9">
              <w:rPr>
                <w:lang w:val="ro-RO"/>
              </w:rPr>
              <w:t>de Sociologie și Psihologie</w:t>
            </w:r>
          </w:p>
        </w:tc>
      </w:tr>
      <w:tr w:rsidR="008E6FF7" w:rsidRPr="00C4385C" w14:paraId="3E2ECC7F" w14:textId="77777777" w:rsidTr="003A7BA4">
        <w:tc>
          <w:tcPr>
            <w:tcW w:w="1850" w:type="pct"/>
            <w:vAlign w:val="center"/>
          </w:tcPr>
          <w:p w14:paraId="22160B34" w14:textId="77777777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150" w:type="pct"/>
            <w:vAlign w:val="center"/>
          </w:tcPr>
          <w:p w14:paraId="3A0E0A77" w14:textId="43C3CA64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5EE9">
              <w:rPr>
                <w:lang w:val="ro-RO"/>
              </w:rPr>
              <w:t>SOCIOLOGIE</w:t>
            </w:r>
          </w:p>
        </w:tc>
      </w:tr>
      <w:tr w:rsidR="008E6FF7" w:rsidRPr="00C4385C" w14:paraId="38E2999E" w14:textId="77777777" w:rsidTr="003A7BA4">
        <w:tc>
          <w:tcPr>
            <w:tcW w:w="1850" w:type="pct"/>
            <w:vAlign w:val="center"/>
          </w:tcPr>
          <w:p w14:paraId="2467FE5A" w14:textId="77777777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150" w:type="pct"/>
            <w:vAlign w:val="center"/>
          </w:tcPr>
          <w:p w14:paraId="6D5A3CE8" w14:textId="5C2C3307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5EE9">
              <w:rPr>
                <w:lang w:val="ro-RO"/>
              </w:rPr>
              <w:t>Sociologie</w:t>
            </w:r>
            <w:r>
              <w:rPr>
                <w:lang w:val="ro-RO"/>
              </w:rPr>
              <w:t xml:space="preserve"> – </w:t>
            </w:r>
            <w:proofErr w:type="spellStart"/>
            <w:r>
              <w:rPr>
                <w:lang w:val="ro-RO"/>
              </w:rPr>
              <w:t>MRUAO</w:t>
            </w:r>
            <w:proofErr w:type="spellEnd"/>
            <w:r>
              <w:rPr>
                <w:lang w:val="ro-RO"/>
              </w:rPr>
              <w:t xml:space="preserve"> si </w:t>
            </w:r>
            <w:proofErr w:type="spellStart"/>
            <w:r>
              <w:rPr>
                <w:lang w:val="ro-RO"/>
              </w:rPr>
              <w:t>ASDC</w:t>
            </w:r>
            <w:proofErr w:type="spellEnd"/>
          </w:p>
        </w:tc>
      </w:tr>
      <w:tr w:rsidR="008E6FF7" w:rsidRPr="00C4385C" w14:paraId="7410FBFB" w14:textId="77777777" w:rsidTr="003A7BA4">
        <w:tc>
          <w:tcPr>
            <w:tcW w:w="1850" w:type="pct"/>
            <w:vAlign w:val="center"/>
          </w:tcPr>
          <w:p w14:paraId="682C127F" w14:textId="77777777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150" w:type="pct"/>
            <w:vAlign w:val="center"/>
          </w:tcPr>
          <w:p w14:paraId="4BAC10EF" w14:textId="0CC86BA8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>Master</w:t>
            </w:r>
          </w:p>
        </w:tc>
      </w:tr>
      <w:tr w:rsidR="008E6FF7" w:rsidRPr="00C4385C" w14:paraId="0BC03568" w14:textId="77777777" w:rsidTr="003A7BA4">
        <w:tc>
          <w:tcPr>
            <w:tcW w:w="1850" w:type="pct"/>
            <w:vAlign w:val="center"/>
          </w:tcPr>
          <w:p w14:paraId="4A9FB682" w14:textId="77777777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150" w:type="pct"/>
            <w:vAlign w:val="center"/>
          </w:tcPr>
          <w:p w14:paraId="1A5416C4" w14:textId="5C9E7FA8" w:rsidR="008E6FF7" w:rsidRPr="00C4385C" w:rsidRDefault="008E6FF7" w:rsidP="003A7BA4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lang w:val="ro-RO"/>
              </w:rPr>
              <w:t>MRUAO</w:t>
            </w:r>
            <w:proofErr w:type="spellEnd"/>
            <w:r w:rsidRPr="00F74D59">
              <w:rPr>
                <w:lang w:val="ro-RO"/>
              </w:rPr>
              <w:t xml:space="preserve"> (242308-analist </w:t>
            </w:r>
            <w:r w:rsidR="003A7BA4" w:rsidRPr="00F74D59">
              <w:rPr>
                <w:lang w:val="ro-RO"/>
              </w:rPr>
              <w:t>piața</w:t>
            </w:r>
            <w:r w:rsidRPr="00F74D59">
              <w:rPr>
                <w:lang w:val="ro-RO"/>
              </w:rPr>
              <w:t xml:space="preserve"> muncii, 2423</w:t>
            </w:r>
            <w:r>
              <w:rPr>
                <w:lang w:val="ro-RO"/>
              </w:rPr>
              <w:t>17-consultant in resurse umane</w:t>
            </w:r>
            <w:r w:rsidRPr="00F74D59">
              <w:rPr>
                <w:lang w:val="ro-RO"/>
              </w:rPr>
              <w:t xml:space="preserve">, 242307-consultant in domeniul </w:t>
            </w:r>
            <w:r w:rsidR="003A7BA4" w:rsidRPr="00F74D59">
              <w:rPr>
                <w:lang w:val="ro-RO"/>
              </w:rPr>
              <w:t>forței</w:t>
            </w:r>
            <w:r w:rsidRPr="00F74D59">
              <w:rPr>
                <w:lang w:val="ro-RO"/>
              </w:rPr>
              <w:t xml:space="preserve"> de munca)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8E6FF7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48240E03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7B5EE9">
              <w:rPr>
                <w:b/>
                <w:spacing w:val="-4"/>
                <w:lang w:val="ro-RO"/>
              </w:rPr>
              <w:t>COMUNIC</w:t>
            </w:r>
            <w:r>
              <w:rPr>
                <w:b/>
                <w:spacing w:val="-4"/>
                <w:lang w:val="ro-RO"/>
              </w:rPr>
              <w:t xml:space="preserve">AREA </w:t>
            </w:r>
            <w:r w:rsidRPr="007B5EE9">
              <w:rPr>
                <w:b/>
                <w:spacing w:val="-4"/>
                <w:lang w:val="ro-RO"/>
              </w:rPr>
              <w:t>I</w:t>
            </w:r>
            <w:r>
              <w:rPr>
                <w:b/>
                <w:spacing w:val="-4"/>
                <w:lang w:val="ro-RO"/>
              </w:rPr>
              <w:t>NTERPERSONALĂ ȘI DE GRUP</w:t>
            </w:r>
          </w:p>
        </w:tc>
      </w:tr>
      <w:tr w:rsidR="008E6FF7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2A3A6015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7B5EE9">
              <w:rPr>
                <w:b/>
                <w:lang w:val="ro-RO"/>
              </w:rPr>
              <w:t>conf.univ.dr</w:t>
            </w:r>
            <w:proofErr w:type="spellEnd"/>
            <w:r w:rsidRPr="007B5EE9">
              <w:rPr>
                <w:b/>
                <w:lang w:val="ro-RO"/>
              </w:rPr>
              <w:t>. Bogdan NADOLU</w:t>
            </w:r>
          </w:p>
        </w:tc>
      </w:tr>
      <w:tr w:rsidR="008E6FF7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8E6FF7" w:rsidRPr="00C4385C" w:rsidRDefault="008E6FF7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6584000E" w:rsidR="008E6FF7" w:rsidRPr="00C4385C" w:rsidRDefault="0060227D" w:rsidP="008E6FF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7B5EE9">
              <w:rPr>
                <w:b/>
                <w:lang w:val="ro-RO"/>
              </w:rPr>
              <w:t>conf.univ.dr</w:t>
            </w:r>
            <w:proofErr w:type="spellEnd"/>
            <w:r w:rsidRPr="007B5EE9">
              <w:rPr>
                <w:b/>
                <w:lang w:val="ro-RO"/>
              </w:rPr>
              <w:t>. Bogdan NADOLU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3A7BA4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5EE397CB" w:rsidR="00E0255D" w:rsidRPr="00C4385C" w:rsidRDefault="008E6FF7" w:rsidP="003A7BA4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3A7BA4">
            <w:pPr>
              <w:pStyle w:val="NoSpacing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5C432A06" w:rsidR="00E0255D" w:rsidRPr="00C4385C" w:rsidRDefault="008E6FF7" w:rsidP="003A7BA4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3A7BA4">
            <w:pPr>
              <w:pStyle w:val="NoSpacing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198ADF61" w:rsidR="00E0255D" w:rsidRPr="00C4385C" w:rsidRDefault="003A7BA4" w:rsidP="003A7BA4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3A7BA4">
            <w:pPr>
              <w:pStyle w:val="NoSpacing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5535922" w:rsidR="00E0255D" w:rsidRPr="00C4385C" w:rsidRDefault="003A7BA4" w:rsidP="003A7BA4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lang w:val="ro-RO"/>
              </w:rPr>
              <w:t>Ob</w:t>
            </w:r>
            <w:proofErr w:type="spellEnd"/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17B01BDF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5A29FEDF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8238815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67A55BB5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468AA860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181D0F2E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0CEF7795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63B61DC6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72836CDB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25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C4385C">
              <w:rPr>
                <w:rFonts w:asciiTheme="minorHAnsi" w:hAnsiTheme="minorHAnsi" w:cstheme="minorHAnsi"/>
                <w:lang w:val="ro-RO"/>
              </w:rPr>
              <w:t>Tutoriat</w:t>
            </w:r>
            <w:proofErr w:type="spellEnd"/>
            <w:r w:rsidRPr="00C4385C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524" w:type="dxa"/>
          </w:tcPr>
          <w:p w14:paraId="3B9B8C3B" w14:textId="2E15FB52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5C7BFFFD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047C6B7E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107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7B71328A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135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262843A7" w:rsidR="00E0255D" w:rsidRPr="00C4385C" w:rsidRDefault="008E6FF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5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C4385C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C4385C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1"/>
        <w:gridCol w:w="7289"/>
      </w:tblGrid>
      <w:tr w:rsidR="00E0255D" w:rsidRPr="00C4385C" w14:paraId="2C5D8739" w14:textId="77777777" w:rsidTr="00BD7ECB">
        <w:tc>
          <w:tcPr>
            <w:tcW w:w="2297" w:type="dxa"/>
          </w:tcPr>
          <w:p w14:paraId="26DB2A17" w14:textId="7EFC29E3" w:rsidR="00E0255D" w:rsidRPr="00C4385C" w:rsidRDefault="00E0255D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7513" w:type="dxa"/>
          </w:tcPr>
          <w:p w14:paraId="3E8DE47B" w14:textId="54D61DCB" w:rsidR="008E6FF7" w:rsidRPr="00BD7ECB" w:rsidRDefault="008E6FF7" w:rsidP="00BD7EC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ECB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Toate materialele pentru această disciplină vor fi încărcate pe Google </w:t>
            </w:r>
            <w:proofErr w:type="spellStart"/>
            <w:r w:rsidRPr="00BD7ECB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  <w:proofErr w:type="spellEnd"/>
            <w:r w:rsidRPr="00BD7ECB">
              <w:rPr>
                <w:rFonts w:asciiTheme="minorHAnsi" w:hAnsiTheme="minorHAnsi" w:cstheme="minorHAnsi"/>
                <w:sz w:val="22"/>
                <w:szCs w:val="22"/>
              </w:rPr>
              <w:t xml:space="preserve"> iar codul de</w:t>
            </w:r>
            <w:r w:rsidR="0060227D">
              <w:rPr>
                <w:rFonts w:asciiTheme="minorHAnsi" w:hAnsiTheme="minorHAnsi" w:cstheme="minorHAnsi"/>
                <w:sz w:val="22"/>
                <w:szCs w:val="22"/>
              </w:rPr>
              <w:t xml:space="preserve"> acces pentru această disciplină</w:t>
            </w:r>
            <w:r w:rsidRPr="00BD7ECB">
              <w:rPr>
                <w:rFonts w:asciiTheme="minorHAnsi" w:hAnsiTheme="minorHAnsi" w:cstheme="minorHAnsi"/>
                <w:sz w:val="22"/>
                <w:szCs w:val="22"/>
              </w:rPr>
              <w:t xml:space="preserve"> este: </w:t>
            </w:r>
            <w:r w:rsidR="00C23301" w:rsidRPr="00C23301">
              <w:rPr>
                <w:rFonts w:asciiTheme="minorHAnsi" w:hAnsiTheme="minorHAnsi" w:cstheme="minorHAnsi"/>
                <w:b/>
                <w:sz w:val="22"/>
                <w:szCs w:val="22"/>
              </w:rPr>
              <w:t>7dhl6wo</w:t>
            </w:r>
            <w:r w:rsidRPr="00BD7EC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6ADFF241" w14:textId="5D4CE8B0" w:rsidR="00E0255D" w:rsidRPr="00BD7ECB" w:rsidRDefault="00E0255D" w:rsidP="00BD7EC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2D13" w:rsidRPr="00C4385C" w14:paraId="12F774A5" w14:textId="77777777" w:rsidTr="00BD7ECB">
        <w:tc>
          <w:tcPr>
            <w:tcW w:w="2297" w:type="dxa"/>
          </w:tcPr>
          <w:p w14:paraId="7D3A976E" w14:textId="494A22A1" w:rsidR="00802D13" w:rsidRPr="00C4385C" w:rsidRDefault="00802D13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seminarului/laboratorului</w:t>
            </w:r>
          </w:p>
        </w:tc>
        <w:tc>
          <w:tcPr>
            <w:tcW w:w="7513" w:type="dxa"/>
          </w:tcPr>
          <w:p w14:paraId="4BD0591C" w14:textId="6A87904F" w:rsidR="00802D13" w:rsidRPr="00BD7ECB" w:rsidRDefault="00802D13" w:rsidP="00E911B9">
            <w:pPr>
              <w:pStyle w:val="NoSpacing"/>
              <w:ind w:left="720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3A7BA4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C4385C" w:rsidRDefault="00C94D71" w:rsidP="003A7BA4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489E27CA" w14:textId="3812566B" w:rsidR="00E0255D" w:rsidRPr="00C4385C" w:rsidRDefault="003A7BA4" w:rsidP="003A7BA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R2. Cunoștințe care să permită intervenții de natură practică în departamentele de resurse umane ale organizațiilor, precum recrutarea și selecția, evaluarea performanțelor, motivarea angajaților și construirea echipelor de muncă performante</w:t>
            </w:r>
          </w:p>
        </w:tc>
      </w:tr>
      <w:tr w:rsidR="00E0255D" w:rsidRPr="00C4385C" w14:paraId="5C767D8B" w14:textId="77777777" w:rsidTr="003A7BA4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C4385C" w:rsidRDefault="00C94D71" w:rsidP="003A7BA4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26A3295C" w14:textId="204BD148" w:rsidR="00E0255D" w:rsidRPr="00C4385C" w:rsidRDefault="003A7BA4" w:rsidP="003A7BA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A7BA4">
              <w:rPr>
                <w:rFonts w:asciiTheme="minorHAnsi" w:hAnsiTheme="minorHAnsi" w:cstheme="minorHAnsi"/>
                <w:sz w:val="20"/>
                <w:szCs w:val="20"/>
              </w:rPr>
              <w:t>R7. Abilitatea de a aplica cunoștințele și instrumente de diagnoză și analiză a unor contexte organizaționale specifice</w:t>
            </w:r>
          </w:p>
        </w:tc>
      </w:tr>
      <w:tr w:rsidR="00C94D71" w:rsidRPr="00C4385C" w14:paraId="71758DDA" w14:textId="77777777" w:rsidTr="003A7BA4">
        <w:trPr>
          <w:cantSplit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Default="00C94D71" w:rsidP="003A7BA4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78946F0F" w14:textId="43D73E17" w:rsidR="00C94D71" w:rsidRPr="00C4385C" w:rsidRDefault="003A7BA4" w:rsidP="003A7BA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A7BA4">
              <w:rPr>
                <w:rFonts w:asciiTheme="minorHAnsi" w:hAnsiTheme="minorHAnsi" w:cstheme="minorHAnsi"/>
                <w:sz w:val="20"/>
                <w:szCs w:val="20"/>
              </w:rPr>
              <w:t>R13. Abilitatea de a participa și coordona activități de echipă și grupuri profesionale interdepartamentale și trans departamentale.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8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0"/>
        <w:gridCol w:w="2126"/>
        <w:gridCol w:w="1138"/>
      </w:tblGrid>
      <w:tr w:rsidR="00802D13" w:rsidRPr="00C4385C" w14:paraId="65C2680D" w14:textId="77777777" w:rsidTr="003A7BA4">
        <w:tc>
          <w:tcPr>
            <w:tcW w:w="6550" w:type="dxa"/>
            <w:shd w:val="clear" w:color="auto" w:fill="auto"/>
          </w:tcPr>
          <w:p w14:paraId="460E7C72" w14:textId="6198C1ED" w:rsidR="00802D13" w:rsidRPr="002644F8" w:rsidRDefault="00C23301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2126" w:type="dxa"/>
            <w:shd w:val="clear" w:color="auto" w:fill="auto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1135" w:type="dxa"/>
            <w:shd w:val="clear" w:color="auto" w:fill="auto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53506A" w:rsidRPr="00C4385C" w14:paraId="668108F7" w14:textId="77777777" w:rsidTr="003A7BA4">
        <w:tc>
          <w:tcPr>
            <w:tcW w:w="6550" w:type="dxa"/>
            <w:shd w:val="clear" w:color="auto" w:fill="auto"/>
          </w:tcPr>
          <w:p w14:paraId="6A7D9171" w14:textId="77777777" w:rsidR="0053506A" w:rsidRPr="00553275" w:rsidRDefault="0053506A" w:rsidP="0053506A">
            <w:pPr>
              <w:pStyle w:val="Heading3"/>
              <w:spacing w:before="0" w:beforeAutospacing="0" w:after="0" w:afterAutospacing="0"/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</w:pPr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 xml:space="preserve">I. </w:t>
            </w:r>
            <w:proofErr w:type="spellStart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>Comunicarea</w:t>
            </w:r>
            <w:proofErr w:type="spellEnd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 xml:space="preserve"> – </w:t>
            </w:r>
            <w:proofErr w:type="spellStart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>definiţii</w:t>
            </w:r>
            <w:proofErr w:type="spellEnd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>caracteristici</w:t>
            </w:r>
            <w:proofErr w:type="spellEnd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>şi</w:t>
            </w:r>
            <w:proofErr w:type="spellEnd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553275">
              <w:rPr>
                <w:rFonts w:asciiTheme="minorHAnsi" w:hAnsiTheme="minorHAnsi" w:cstheme="minorHAnsi"/>
                <w:color w:val="auto"/>
                <w:sz w:val="22"/>
                <w:szCs w:val="22"/>
                <w:lang w:val="it-IT"/>
              </w:rPr>
              <w:t>tipologii</w:t>
            </w:r>
            <w:proofErr w:type="spellEnd"/>
          </w:p>
          <w:p w14:paraId="6E418CE4" w14:textId="283EF84D" w:rsidR="0053506A" w:rsidRPr="003A7BA4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definirea comunicării; caracteristici </w:t>
            </w:r>
            <w:proofErr w:type="spellStart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>şi</w:t>
            </w:r>
            <w:proofErr w:type="spellEnd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tipologii ale comunicării; </w:t>
            </w:r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axiomele comunicării;</w:t>
            </w:r>
          </w:p>
          <w:p w14:paraId="7ABBE449" w14:textId="63C6F5CC" w:rsidR="0053506A" w:rsidRPr="003A7BA4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3A7BA4">
              <w:rPr>
                <w:rFonts w:asciiTheme="minorHAnsi" w:hAnsiTheme="minorHAnsi" w:cstheme="minorHAnsi"/>
                <w:sz w:val="22"/>
                <w:szCs w:val="22"/>
              </w:rPr>
              <w:t>Exerciţii</w:t>
            </w:r>
            <w:proofErr w:type="spellEnd"/>
            <w:r w:rsidRPr="003A7BA4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3A7BA4">
              <w:rPr>
                <w:rFonts w:asciiTheme="minorHAnsi" w:hAnsiTheme="minorHAnsi" w:cstheme="minorHAnsi"/>
                <w:sz w:val="22"/>
                <w:szCs w:val="22"/>
              </w:rPr>
              <w:t>Ice-Breaking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2D06D65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7101B72C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1531B178" w14:textId="69DCFA02" w:rsidR="0053506A" w:rsidRPr="0053506A" w:rsidRDefault="0053506A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1135" w:type="dxa"/>
            <w:shd w:val="clear" w:color="auto" w:fill="auto"/>
          </w:tcPr>
          <w:p w14:paraId="2E720044" w14:textId="5C333019" w:rsidR="0053506A" w:rsidRPr="002644F8" w:rsidRDefault="00BD7ECB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53506A" w:rsidRPr="00C4385C" w14:paraId="194BE7A3" w14:textId="77777777" w:rsidTr="003A7BA4">
        <w:tc>
          <w:tcPr>
            <w:tcW w:w="6550" w:type="dxa"/>
            <w:shd w:val="clear" w:color="auto" w:fill="auto"/>
          </w:tcPr>
          <w:p w14:paraId="5D7015A3" w14:textId="77777777" w:rsidR="0053506A" w:rsidRPr="0053506A" w:rsidRDefault="0053506A" w:rsidP="0053506A">
            <w:pPr>
              <w:pStyle w:val="Heading1"/>
              <w:keepNext w:val="0"/>
              <w:spacing w:before="0" w:after="0"/>
              <w:ind w:left="1026" w:hanging="993"/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II. Metode </w:t>
            </w:r>
            <w:proofErr w:type="spellStart"/>
            <w:r w:rsidRPr="0053506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şi</w:t>
            </w:r>
            <w:proofErr w:type="spellEnd"/>
            <w:r w:rsidRPr="0053506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tehnici de analiză a comunicării.</w:t>
            </w:r>
          </w:p>
          <w:p w14:paraId="7D7824D3" w14:textId="77777777" w:rsidR="00BD7ECB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z w:val="22"/>
                <w:szCs w:val="22"/>
              </w:rPr>
              <w:t xml:space="preserve">analiza de </w:t>
            </w:r>
            <w:proofErr w:type="spellStart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conţinut</w:t>
            </w:r>
            <w:proofErr w:type="spellEnd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, caracteristici, aplicabilitate;</w:t>
            </w:r>
          </w:p>
          <w:p w14:paraId="2B3DF334" w14:textId="77777777" w:rsidR="00BD7ECB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z w:val="22"/>
                <w:szCs w:val="22"/>
              </w:rPr>
              <w:t xml:space="preserve"> analiza comunicării în grup – </w:t>
            </w:r>
            <w:proofErr w:type="spellStart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sociomatricea</w:t>
            </w:r>
            <w:proofErr w:type="spellEnd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FFAF22C" w14:textId="7A5C8C88" w:rsidR="0053506A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z w:val="22"/>
                <w:szCs w:val="22"/>
              </w:rPr>
              <w:t xml:space="preserve">analiza </w:t>
            </w:r>
            <w:proofErr w:type="spellStart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reţelelor</w:t>
            </w:r>
            <w:proofErr w:type="spellEnd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 xml:space="preserve"> sociale;</w:t>
            </w:r>
          </w:p>
          <w:p w14:paraId="7C1670D2" w14:textId="4929414C" w:rsidR="0053506A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7ECB">
              <w:rPr>
                <w:rFonts w:asciiTheme="minorHAnsi" w:hAnsiTheme="minorHAnsi" w:cstheme="minorHAnsi"/>
                <w:sz w:val="22"/>
                <w:szCs w:val="22"/>
              </w:rPr>
              <w:t>observarea comunicării în propriul grup.</w:t>
            </w:r>
          </w:p>
        </w:tc>
        <w:tc>
          <w:tcPr>
            <w:tcW w:w="2126" w:type="dxa"/>
            <w:shd w:val="clear" w:color="auto" w:fill="auto"/>
          </w:tcPr>
          <w:p w14:paraId="4EBAED1B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7426FF3F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03F313F7" w14:textId="171AF6F2" w:rsidR="0053506A" w:rsidRPr="0053506A" w:rsidRDefault="0053506A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1135" w:type="dxa"/>
            <w:shd w:val="clear" w:color="auto" w:fill="auto"/>
          </w:tcPr>
          <w:p w14:paraId="1F519EF5" w14:textId="258F8D90" w:rsidR="0053506A" w:rsidRPr="002644F8" w:rsidRDefault="00BD7ECB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53506A" w:rsidRPr="00C4385C" w14:paraId="6BF0252E" w14:textId="77777777" w:rsidTr="003A7BA4">
        <w:tc>
          <w:tcPr>
            <w:tcW w:w="6550" w:type="dxa"/>
            <w:shd w:val="clear" w:color="auto" w:fill="auto"/>
          </w:tcPr>
          <w:p w14:paraId="00805A7D" w14:textId="3C87579D" w:rsidR="0053506A" w:rsidRPr="0053506A" w:rsidRDefault="0053506A" w:rsidP="0053506A">
            <w:pPr>
              <w:pStyle w:val="Heading3"/>
              <w:spacing w:before="0" w:beforeAutospacing="0" w:after="0" w:afterAutospacing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III</w:t>
            </w:r>
            <w:r w:rsidR="00BD7EC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-IV</w:t>
            </w:r>
            <w:r w:rsidRPr="005350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</w:t>
            </w:r>
            <w:proofErr w:type="spellStart"/>
            <w:r w:rsidR="00BD7EC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</w:t>
            </w:r>
            <w:r w:rsidRPr="005350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omunic</w:t>
            </w:r>
            <w:r w:rsidR="00BD7EC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area</w:t>
            </w:r>
            <w:proofErr w:type="spellEnd"/>
            <w:r w:rsidR="00BD7EC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350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interpersonal</w:t>
            </w:r>
            <w:r w:rsidR="00BD7EC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ă</w:t>
            </w:r>
            <w:proofErr w:type="spellEnd"/>
          </w:p>
          <w:p w14:paraId="571C2634" w14:textId="379B4BBF" w:rsidR="0053506A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>acţiune</w:t>
            </w:r>
            <w:proofErr w:type="spellEnd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>interacţiunea</w:t>
            </w:r>
            <w:proofErr w:type="spellEnd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>şi</w:t>
            </w:r>
            <w:proofErr w:type="spellEnd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>relaţia</w:t>
            </w:r>
            <w:proofErr w:type="spellEnd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socială; sociabilitatea comunicării.</w:t>
            </w:r>
          </w:p>
          <w:p w14:paraId="3EC666AB" w14:textId="6DF28CF4" w:rsidR="0053506A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D7ECB">
              <w:rPr>
                <w:rFonts w:asciiTheme="minorHAnsi" w:hAnsiTheme="minorHAnsi" w:cstheme="minorHAnsi"/>
                <w:bCs/>
                <w:sz w:val="22"/>
                <w:szCs w:val="22"/>
              </w:rPr>
              <w:t>exerciţii</w:t>
            </w:r>
            <w:proofErr w:type="spellEnd"/>
            <w:r w:rsidRPr="00BD7E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 team-building I</w:t>
            </w:r>
          </w:p>
        </w:tc>
        <w:tc>
          <w:tcPr>
            <w:tcW w:w="2126" w:type="dxa"/>
            <w:shd w:val="clear" w:color="auto" w:fill="auto"/>
          </w:tcPr>
          <w:p w14:paraId="0D165FCF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2E6642B8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5C5D8EB4" w14:textId="241A615D" w:rsidR="0053506A" w:rsidRPr="0053506A" w:rsidRDefault="0053506A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1135" w:type="dxa"/>
            <w:shd w:val="clear" w:color="auto" w:fill="auto"/>
          </w:tcPr>
          <w:p w14:paraId="0C386E67" w14:textId="712A5564" w:rsidR="0053506A" w:rsidRPr="002644F8" w:rsidRDefault="00BD7ECB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ore</w:t>
            </w:r>
          </w:p>
        </w:tc>
      </w:tr>
      <w:tr w:rsidR="0053506A" w:rsidRPr="00C4385C" w14:paraId="3B5F5694" w14:textId="77777777" w:rsidTr="003A7BA4">
        <w:tc>
          <w:tcPr>
            <w:tcW w:w="6550" w:type="dxa"/>
            <w:shd w:val="clear" w:color="auto" w:fill="auto"/>
          </w:tcPr>
          <w:p w14:paraId="2316026E" w14:textId="1114A2DE" w:rsidR="0053506A" w:rsidRPr="0053506A" w:rsidRDefault="0053506A" w:rsidP="0053506A">
            <w:pPr>
              <w:pStyle w:val="Heading1"/>
              <w:spacing w:before="0" w:after="0"/>
              <w:ind w:left="1026" w:hanging="993"/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</w:t>
            </w:r>
            <w:r w:rsidR="00BD7EC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-VI</w:t>
            </w:r>
            <w:r w:rsidRPr="0053506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 Comunicarea de grup.</w:t>
            </w:r>
          </w:p>
          <w:p w14:paraId="1E68010B" w14:textId="6E22D3BC" w:rsidR="0053506A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>particularităţile</w:t>
            </w:r>
            <w:proofErr w:type="spellEnd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grupului social; structura de comunicare în grupul mic; impactul comunicării asupra </w:t>
            </w:r>
            <w:proofErr w:type="spellStart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>performanţei</w:t>
            </w:r>
            <w:proofErr w:type="spellEnd"/>
            <w:r w:rsidRPr="005350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grupului.</w:t>
            </w:r>
          </w:p>
          <w:p w14:paraId="6DE753F2" w14:textId="16FCB6A0" w:rsidR="0053506A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D7ECB">
              <w:rPr>
                <w:rFonts w:asciiTheme="minorHAnsi" w:hAnsiTheme="minorHAnsi" w:cstheme="minorHAnsi"/>
                <w:bCs/>
                <w:sz w:val="22"/>
                <w:szCs w:val="22"/>
              </w:rPr>
              <w:t>exerciţii</w:t>
            </w:r>
            <w:proofErr w:type="spellEnd"/>
            <w:r w:rsidRPr="00BD7E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 team-building II</w:t>
            </w:r>
          </w:p>
        </w:tc>
        <w:tc>
          <w:tcPr>
            <w:tcW w:w="2126" w:type="dxa"/>
            <w:shd w:val="clear" w:color="auto" w:fill="auto"/>
          </w:tcPr>
          <w:p w14:paraId="77F6D15E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52CAFAA9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5E8C4D5E" w14:textId="4FFEF471" w:rsidR="0053506A" w:rsidRPr="0053506A" w:rsidRDefault="0053506A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1135" w:type="dxa"/>
            <w:shd w:val="clear" w:color="auto" w:fill="auto"/>
          </w:tcPr>
          <w:p w14:paraId="47810310" w14:textId="1D05B1F4" w:rsidR="0053506A" w:rsidRPr="002644F8" w:rsidRDefault="00BD7ECB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ore</w:t>
            </w:r>
          </w:p>
        </w:tc>
      </w:tr>
      <w:tr w:rsidR="0053506A" w:rsidRPr="00C4385C" w14:paraId="246CA5D3" w14:textId="77777777" w:rsidTr="003A7BA4">
        <w:tc>
          <w:tcPr>
            <w:tcW w:w="6550" w:type="dxa"/>
            <w:shd w:val="clear" w:color="auto" w:fill="auto"/>
          </w:tcPr>
          <w:p w14:paraId="02F48518" w14:textId="6094B96C" w:rsidR="0053506A" w:rsidRPr="0053506A" w:rsidRDefault="0053506A" w:rsidP="005350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b/>
                <w:i/>
                <w:spacing w:val="-4"/>
                <w:sz w:val="22"/>
                <w:szCs w:val="22"/>
              </w:rPr>
              <w:t>VI</w:t>
            </w:r>
            <w:r w:rsidR="00BD7ECB">
              <w:rPr>
                <w:rFonts w:asciiTheme="minorHAnsi" w:hAnsiTheme="minorHAnsi" w:cstheme="minorHAnsi"/>
                <w:b/>
                <w:i/>
                <w:spacing w:val="-4"/>
                <w:sz w:val="22"/>
                <w:szCs w:val="22"/>
              </w:rPr>
              <w:t>I</w:t>
            </w:r>
            <w:r w:rsidRPr="0053506A">
              <w:rPr>
                <w:rFonts w:asciiTheme="minorHAnsi" w:hAnsiTheme="minorHAnsi" w:cstheme="minorHAnsi"/>
                <w:b/>
                <w:i/>
                <w:spacing w:val="-4"/>
                <w:sz w:val="22"/>
                <w:szCs w:val="22"/>
              </w:rPr>
              <w:t xml:space="preserve">. </w:t>
            </w:r>
            <w:r w:rsidRPr="005350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Comunicarea mediată de computer – </w:t>
            </w:r>
            <w:proofErr w:type="spellStart"/>
            <w:r w:rsidRPr="0053506A">
              <w:rPr>
                <w:rFonts w:asciiTheme="minorHAnsi" w:hAnsiTheme="minorHAnsi" w:cstheme="minorHAnsi"/>
                <w:b/>
                <w:sz w:val="22"/>
                <w:szCs w:val="22"/>
              </w:rPr>
              <w:t>Homo</w:t>
            </w:r>
            <w:proofErr w:type="spellEnd"/>
            <w:r w:rsidRPr="005350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3506A">
              <w:rPr>
                <w:rFonts w:asciiTheme="minorHAnsi" w:hAnsiTheme="minorHAnsi" w:cstheme="minorHAnsi"/>
                <w:b/>
                <w:sz w:val="22"/>
                <w:szCs w:val="22"/>
              </w:rPr>
              <w:t>Interneticus</w:t>
            </w:r>
            <w:proofErr w:type="spellEnd"/>
          </w:p>
          <w:p w14:paraId="79A2AEB9" w14:textId="77777777" w:rsidR="0053506A" w:rsidRPr="0053506A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definirea CMC, caracteristici, implicații</w:t>
            </w:r>
          </w:p>
          <w:p w14:paraId="7115FA93" w14:textId="77777777" w:rsidR="0053506A" w:rsidRPr="0053506A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z w:val="22"/>
                <w:szCs w:val="22"/>
              </w:rPr>
              <w:t xml:space="preserve">Internetul – definire, caracteristici, evoluție, profil </w:t>
            </w:r>
            <w:proofErr w:type="spellStart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  <w:proofErr w:type="spellEnd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-demografic</w:t>
            </w:r>
          </w:p>
          <w:p w14:paraId="733AC49F" w14:textId="77777777" w:rsidR="0053506A" w:rsidRPr="0053506A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Web 2.0 – particularități, parametrii, social media</w:t>
            </w:r>
          </w:p>
          <w:p w14:paraId="30960545" w14:textId="67E4D991" w:rsidR="0053506A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Homo</w:t>
            </w:r>
            <w:proofErr w:type="spellEnd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>Interneticus</w:t>
            </w:r>
            <w:proofErr w:type="spellEnd"/>
            <w:r w:rsidRPr="0053506A">
              <w:rPr>
                <w:rFonts w:asciiTheme="minorHAnsi" w:hAnsiTheme="minorHAnsi" w:cstheme="minorHAnsi"/>
                <w:sz w:val="22"/>
                <w:szCs w:val="22"/>
              </w:rPr>
              <w:t xml:space="preserve"> – profil, puncte tari - puncte slabe, consecințe</w:t>
            </w:r>
          </w:p>
          <w:p w14:paraId="32DC301B" w14:textId="613EB0C1" w:rsidR="0053506A" w:rsidRPr="00BD7ECB" w:rsidRDefault="0053506A" w:rsidP="0053506A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D7ECB">
              <w:rPr>
                <w:rFonts w:asciiTheme="minorHAnsi" w:hAnsiTheme="minorHAnsi" w:cstheme="minorHAnsi"/>
                <w:sz w:val="22"/>
                <w:szCs w:val="22"/>
              </w:rPr>
              <w:t xml:space="preserve">dependența de utilizarea </w:t>
            </w:r>
            <w:proofErr w:type="spellStart"/>
            <w:r w:rsidRPr="00BD7ECB">
              <w:rPr>
                <w:rFonts w:asciiTheme="minorHAnsi" w:hAnsiTheme="minorHAnsi" w:cstheme="minorHAnsi"/>
                <w:sz w:val="22"/>
                <w:szCs w:val="22"/>
              </w:rPr>
              <w:t>ICT</w:t>
            </w:r>
            <w:proofErr w:type="spellEnd"/>
            <w:r w:rsidRPr="00BD7ECB">
              <w:rPr>
                <w:rFonts w:asciiTheme="minorHAnsi" w:hAnsiTheme="minorHAnsi" w:cstheme="minorHAnsi"/>
                <w:sz w:val="22"/>
                <w:szCs w:val="22"/>
              </w:rPr>
              <w:t xml:space="preserve"> și a platformelor de socializare</w:t>
            </w:r>
          </w:p>
        </w:tc>
        <w:tc>
          <w:tcPr>
            <w:tcW w:w="2126" w:type="dxa"/>
            <w:shd w:val="clear" w:color="auto" w:fill="auto"/>
          </w:tcPr>
          <w:p w14:paraId="01E7249E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prelegere participativă;</w:t>
            </w:r>
          </w:p>
          <w:p w14:paraId="1B747E05" w14:textId="77777777" w:rsidR="0053506A" w:rsidRPr="0053506A" w:rsidRDefault="0053506A" w:rsidP="0053506A">
            <w:pPr>
              <w:pStyle w:val="NoSpacing"/>
              <w:rPr>
                <w:rFonts w:asciiTheme="minorHAnsi" w:hAnsiTheme="minorHAnsi" w:cstheme="minorHAnsi"/>
                <w:spacing w:val="-4"/>
                <w:lang w:val="ro-RO"/>
              </w:rPr>
            </w:pPr>
            <w:r w:rsidRPr="0053506A">
              <w:rPr>
                <w:rFonts w:asciiTheme="minorHAnsi" w:hAnsiTheme="minorHAnsi" w:cstheme="minorHAnsi"/>
                <w:spacing w:val="-4"/>
                <w:lang w:val="ro-RO"/>
              </w:rPr>
              <w:t>- problematizare;</w:t>
            </w:r>
          </w:p>
          <w:p w14:paraId="442E5CC4" w14:textId="5F133745" w:rsidR="0053506A" w:rsidRPr="0053506A" w:rsidRDefault="0053506A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506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dezbatere</w:t>
            </w:r>
          </w:p>
        </w:tc>
        <w:tc>
          <w:tcPr>
            <w:tcW w:w="1135" w:type="dxa"/>
            <w:shd w:val="clear" w:color="auto" w:fill="auto"/>
          </w:tcPr>
          <w:p w14:paraId="41A9A6B1" w14:textId="0F369AF1" w:rsidR="0053506A" w:rsidRPr="002644F8" w:rsidRDefault="00BD7ECB" w:rsidP="005350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E0255D" w:rsidRPr="00C4385C" w14:paraId="40DC4846" w14:textId="77777777" w:rsidTr="003A7BA4">
        <w:tc>
          <w:tcPr>
            <w:tcW w:w="9814" w:type="dxa"/>
            <w:gridSpan w:val="3"/>
            <w:shd w:val="clear" w:color="auto" w:fill="auto"/>
          </w:tcPr>
          <w:p w14:paraId="13BD7B43" w14:textId="77777777" w:rsidR="0060227D" w:rsidRPr="0036708D" w:rsidRDefault="0060227D" w:rsidP="0060227D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Bibliografie :</w:t>
            </w:r>
          </w:p>
          <w:p w14:paraId="672E773B" w14:textId="77777777" w:rsidR="0060227D" w:rsidRPr="0036708D" w:rsidRDefault="0060227D" w:rsidP="0060227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a). obligatorie (minimală): </w:t>
            </w:r>
          </w:p>
          <w:p w14:paraId="7CA0ED9E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Cheney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George (2007) </w:t>
            </w:r>
            <w:proofErr w:type="spellStart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Organisational</w:t>
            </w:r>
            <w:proofErr w:type="spellEnd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Communication</w:t>
            </w:r>
            <w:proofErr w:type="spellEnd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 xml:space="preserve"> Come Out</w:t>
            </w: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Management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Communication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Quarterly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21(1),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availalbe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at </w:t>
            </w:r>
            <w:hyperlink r:id="rId7" w:history="1">
              <w:r w:rsidRPr="00553275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https://www.researchgate.net/publication/33052139_Organizational_communication</w:t>
              </w:r>
            </w:hyperlink>
          </w:p>
          <w:p w14:paraId="44C8C8C6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Coman, M., (1999), Introducere în sistemul mass media, Polirom,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</w:p>
          <w:p w14:paraId="65CB2FDD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DeFleur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M.,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Rokeach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S., (1999), Teorii ale comunicării de masă, Polirom,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</w:p>
          <w:p w14:paraId="3EF82C9E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Drăgan, I., (1996) Paradigme ale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comuncării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de masă, Casa de editură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presă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ŞANSA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</w:p>
          <w:p w14:paraId="51D4827D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Flichy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P., O istorie a comunicării moderne, Polirom,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1999;</w:t>
            </w:r>
          </w:p>
          <w:p w14:paraId="609ECE20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Florian S. 2016. The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metaphysics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media: Descartes’ sticks,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naked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communication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and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immediacy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Cultural Studies, 30:4, 630-649, DOI: </w:t>
            </w:r>
            <w:hyperlink r:id="rId8" w:history="1">
              <w:r w:rsidRPr="0036708D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10.1080/09502386.2016.1180757</w:t>
              </w:r>
            </w:hyperlink>
          </w:p>
          <w:p w14:paraId="47567DDD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Habermas, J., The Structural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Transformation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Public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Sphere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An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Inquiry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into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Category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Bourgeois Society, Cambridge, 1989;</w:t>
            </w:r>
          </w:p>
          <w:p w14:paraId="5C2751C3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Jeanneney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J.N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., O istorie a mijloacelor de comunicare,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Institutul European, 1997;</w:t>
            </w:r>
          </w:p>
          <w:p w14:paraId="6B7894CE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Joanescu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I., Radioul modern,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All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1999;</w:t>
            </w:r>
          </w:p>
          <w:p w14:paraId="0BF1A36B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Kapferer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Jean-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Noel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(2002) Căile persuasiunii, Ed. Comunicare.ro,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Bucuresti</w:t>
            </w:r>
            <w:proofErr w:type="spellEnd"/>
          </w:p>
          <w:p w14:paraId="5016E7A8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Luckett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O.,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Casey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M. 2016. The Social Organism. New York: Hachette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Book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19C2032E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McQuail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D. Comunicarea, Institutul European,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1999;</w:t>
            </w:r>
          </w:p>
          <w:p w14:paraId="4300CBCF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McLuhan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M., Galaxia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Gutenberg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Ed. Politică,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1975</w:t>
            </w:r>
          </w:p>
          <w:p w14:paraId="1097A4B6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Nadin M, Civilizația analfabetismului,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Spandugino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2016</w:t>
            </w:r>
          </w:p>
          <w:p w14:paraId="24968BCC" w14:textId="3541E511" w:rsidR="0060227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Nadolu B., Despre comunicare, Editura de Vest,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Timişoara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2014</w:t>
            </w:r>
          </w:p>
          <w:p w14:paraId="3BFD7B5E" w14:textId="36FC34E9" w:rsidR="00C23301" w:rsidRPr="0036708D" w:rsidRDefault="00C23301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Nadolu B.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Homo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Interneticus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Presa Universitara Clujeană, Cluj-Napoca 2020 (disponibilă și online </w:t>
            </w:r>
            <w:r w:rsidRPr="00C2330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https://www.researchgate.net/publication/344995228_HOMO_INTERNETICUS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)</w:t>
            </w:r>
          </w:p>
          <w:p w14:paraId="3E7DD4FF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Pânișoară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Ion Ovidiu (2008) Comunicarea eficientă, ediția a III-a, București: Polirom</w:t>
            </w:r>
          </w:p>
          <w:p w14:paraId="7C6103D7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Sartori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Giovani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(2005)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Homo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Videns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– Imbecilizarea prin televiziune și post-gândirea, București: Humanitas</w:t>
            </w:r>
          </w:p>
          <w:p w14:paraId="30DD3AB4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Turkle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S., 2012.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Connected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but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alone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TED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presentation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available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at </w:t>
            </w:r>
            <w:hyperlink r:id="rId9" w:history="1">
              <w:r w:rsidRPr="0036708D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https://www.ted.com/talks/sherry_turkle_alone_together?language=en</w:t>
              </w:r>
            </w:hyperlink>
          </w:p>
          <w:p w14:paraId="3221DEF0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Van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Cuilenburg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J.J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.;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Scholten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O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Noomen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G.W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(1998)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Ştiinţa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comunicării.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: Humanitas.</w:t>
            </w:r>
          </w:p>
          <w:p w14:paraId="587264F8" w14:textId="77777777" w:rsidR="0060227D" w:rsidRPr="0036708D" w:rsidRDefault="0060227D" w:rsidP="0060227D">
            <w:pPr>
              <w:ind w:left="918" w:hanging="91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Wrench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Jason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2012, </w:t>
            </w:r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 xml:space="preserve">An </w:t>
            </w:r>
            <w:proofErr w:type="spellStart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Introduction</w:t>
            </w:r>
            <w:proofErr w:type="spellEnd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to</w:t>
            </w:r>
            <w:proofErr w:type="spellEnd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Communicational</w:t>
            </w:r>
            <w:proofErr w:type="spellEnd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Organization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West Virginia University,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available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at </w:t>
            </w:r>
            <w:hyperlink r:id="rId10" w:history="1">
              <w:r w:rsidRPr="0036708D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val="en-US" w:eastAsia="en-US"/>
                </w:rPr>
                <w:t>https://2012books.lardbucket.org/books/an-introduction-to-organizational-communication/s01-about-the-authors.html</w:t>
              </w:r>
            </w:hyperlink>
          </w:p>
          <w:p w14:paraId="37985862" w14:textId="77777777" w:rsidR="0060227D" w:rsidRPr="0036708D" w:rsidRDefault="0060227D" w:rsidP="0060227D">
            <w:pPr>
              <w:ind w:firstLine="70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6A837CB8" w14:textId="77777777" w:rsidR="0060227D" w:rsidRPr="0036708D" w:rsidRDefault="0060227D" w:rsidP="0060227D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b).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opţională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(extinsă):</w:t>
            </w:r>
          </w:p>
          <w:p w14:paraId="515485DF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Badillo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R.P., The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emancipative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theory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Jurgen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Habermas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and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Metaphysics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Washington, 1991;</w:t>
            </w:r>
          </w:p>
          <w:p w14:paraId="32A08C7C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Berger,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A.A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(1998), Media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research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techniques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Sage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Publications</w:t>
            </w:r>
            <w:proofErr w:type="spellEnd"/>
          </w:p>
          <w:p w14:paraId="543A4E08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Bertrand, C.J., Deontologia mijloacelor de comunicare, Institutul European,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2000;</w:t>
            </w:r>
          </w:p>
          <w:p w14:paraId="5BD072B4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Castells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M., The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Informational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City: Information Technology Economic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Restructuring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and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Urban-Regional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Process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Blakwell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Oxford, 1989;</w:t>
            </w:r>
          </w:p>
          <w:p w14:paraId="66CD4F83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Caune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J., (2000), Cultură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comunicare, Cartea românească</w:t>
            </w:r>
          </w:p>
          <w:p w14:paraId="6D70328C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Dobresu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P.,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Bârgăoanu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A., (2002), Puterea fără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contraputere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All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</w:p>
          <w:p w14:paraId="04501C86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Englewood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C., Mass-media in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Information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Age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Prentice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Hall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1990;</w:t>
            </w:r>
          </w:p>
          <w:p w14:paraId="1062F74E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Foucault, M., Ordinea discursului,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1998;</w:t>
            </w:r>
          </w:p>
          <w:p w14:paraId="3FB62EC6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n-US"/>
              </w:rPr>
              <w:t xml:space="preserve">Gesselman A.N., Ta V.P., Garcia J.R., 2019. </w:t>
            </w:r>
            <w:r w:rsidRPr="0036708D">
              <w:rPr>
                <w:rFonts w:asciiTheme="minorHAnsi" w:hAnsiTheme="minorHAnsi" w:cstheme="minorHAnsi"/>
                <w:i/>
                <w:noProof/>
                <w:sz w:val="20"/>
                <w:szCs w:val="20"/>
                <w:lang w:val="en-US" w:eastAsia="en-US"/>
              </w:rPr>
              <w:t>Worth a thousand interpersonal words: Emoji as affective signals for relationship-oriented digital communication.</w:t>
            </w:r>
            <w:r w:rsidRPr="0036708D">
              <w:rPr>
                <w:rFonts w:asciiTheme="minorHAnsi" w:hAnsiTheme="minorHAnsi" w:cstheme="minorHAnsi"/>
                <w:noProof/>
                <w:sz w:val="20"/>
                <w:szCs w:val="20"/>
                <w:lang w:val="en-US" w:eastAsia="en-US"/>
              </w:rPr>
              <w:t xml:space="preserve"> </w:t>
            </w:r>
            <w:r w:rsidRPr="00553275">
              <w:rPr>
                <w:rFonts w:asciiTheme="minorHAnsi" w:hAnsiTheme="minorHAnsi" w:cstheme="minorHAnsi"/>
                <w:noProof/>
                <w:sz w:val="20"/>
                <w:szCs w:val="20"/>
                <w:lang w:val="it-IT" w:eastAsia="en-US"/>
              </w:rPr>
              <w:t>PLoS ONE 14(8): e0221297. https://doi.org/10.1371/journal.pone.0221297</w:t>
            </w:r>
          </w:p>
          <w:p w14:paraId="4B2D27B0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Habermas, J.,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Cunoaştere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comunicare, Ed. Politică,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1983;</w:t>
            </w:r>
          </w:p>
          <w:p w14:paraId="1E5868E6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Haineş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R., (2002), Televiziunea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reconfigurarea politicului, Polirom 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</w:p>
          <w:p w14:paraId="40BD10DA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Lasswell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D. -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Language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Politics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Cambridge, MIT Press, 1965</w:t>
            </w:r>
          </w:p>
          <w:p w14:paraId="303C581C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Lazar J., Sociologie de la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communication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de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masse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Armand Colin, Paris, 1990;</w:t>
            </w:r>
          </w:p>
          <w:p w14:paraId="160CE6A4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Lochard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G., Comunicarea mediatică, Institutul European,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1999;</w:t>
            </w:r>
          </w:p>
          <w:p w14:paraId="07F8EB76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McLuhan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M., Mass-media sau mediul invizibil, Nemira,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1997;</w:t>
            </w:r>
          </w:p>
          <w:p w14:paraId="736DC516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Meadows, A.,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Knowledge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and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communication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London, 1991;</w:t>
            </w:r>
          </w:p>
          <w:p w14:paraId="552ED82C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Miege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B., Societatea cucerită de comunicare, Polirom,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2000;</w:t>
            </w:r>
          </w:p>
          <w:p w14:paraId="01280181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Mişcol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O., Cultură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comunicare, Oscar Print,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2000;</w:t>
            </w:r>
          </w:p>
          <w:p w14:paraId="76CE6C74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Nadolu B. Sociologia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spaţiilor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virtuale,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Eurostampa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Timişoara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2004</w:t>
            </w:r>
          </w:p>
          <w:p w14:paraId="68239FFE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Ritt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A., Comunicarea,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Timişoara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1997;</w:t>
            </w:r>
          </w:p>
          <w:p w14:paraId="39BDB069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Rovenţa-Frumuşani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D., Semiotică - societate - cultură, Institutul European,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1999;</w:t>
            </w:r>
          </w:p>
          <w:p w14:paraId="3D257D84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Runcan, M., Introducere în etica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legislaţia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presei,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All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1998;</w:t>
            </w:r>
          </w:p>
          <w:p w14:paraId="624D14D5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Schiller, H., Mass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Communication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and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American Empire,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N.Y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., Augustus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M.Kelly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1969;</w:t>
            </w:r>
          </w:p>
          <w:p w14:paraId="42250E17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Sibilla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F., Mancini, T. I am (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not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)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avatar: 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review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user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-avatar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relationships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in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Massively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Multiplayer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Online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Worlds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Cyberpsychology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Journal of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Psychosocial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Research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on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Cyberspace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2018 12(3), </w:t>
            </w:r>
            <w:hyperlink r:id="rId11" w:history="1">
              <w:r w:rsidRPr="0036708D"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t>http://dx.doi.org/10.5817/CP2018-3-4</w:t>
              </w:r>
            </w:hyperlink>
          </w:p>
          <w:p w14:paraId="229A529D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 xml:space="preserve">Silverstone, R., (1999), Televiziunea în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viaţa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cotidiană,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polirom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Iaşi</w:t>
            </w:r>
            <w:proofErr w:type="spellEnd"/>
          </w:p>
          <w:p w14:paraId="156004BD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Şincai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A.,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Informaţie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comunicare, Paralela 45,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Piteşti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2000;</w:t>
            </w:r>
          </w:p>
          <w:p w14:paraId="1FA286E0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Teodorescu, Gh., Putere, autoritate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comunicare politică, Nemira,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2000;</w:t>
            </w:r>
          </w:p>
          <w:p w14:paraId="391D0C67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Toffler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A.,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Powershift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Antet,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1997;</w:t>
            </w:r>
          </w:p>
          <w:p w14:paraId="2A719AC5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Toffler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A., Previziuni. Premise, Antet,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1999;</w:t>
            </w:r>
          </w:p>
          <w:p w14:paraId="634B38C1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Umberto Eco, Tratat de semiotică generală, Ed.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Ştiinţifică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Enciclopedică,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1982;</w:t>
            </w:r>
          </w:p>
          <w:p w14:paraId="57CD1F00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Wald, L., Sisteme de comunicare umană, Editura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Ştiinţifică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Bucureşti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1973</w:t>
            </w:r>
          </w:p>
          <w:p w14:paraId="732B2980" w14:textId="77777777" w:rsidR="0060227D" w:rsidRPr="0036708D" w:rsidRDefault="0060227D" w:rsidP="0060227D">
            <w:pPr>
              <w:ind w:left="561" w:hanging="561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Webster, F.,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Theories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the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Information Society,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Routledge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London, 1995</w:t>
            </w:r>
          </w:p>
          <w:p w14:paraId="3D1FD881" w14:textId="77777777" w:rsidR="00E0255D" w:rsidRDefault="0060227D" w:rsidP="0060227D">
            <w:pPr>
              <w:pStyle w:val="NoSpacing"/>
              <w:jc w:val="both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36708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Woodrow, A., Information - </w:t>
            </w:r>
            <w:proofErr w:type="spellStart"/>
            <w:r w:rsidRPr="0036708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Manipulation</w:t>
            </w:r>
            <w:proofErr w:type="spellEnd"/>
            <w:r w:rsidRPr="0036708D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, Ed. du Felin, 1990;</w:t>
            </w:r>
          </w:p>
          <w:p w14:paraId="107DB02C" w14:textId="0486A976" w:rsidR="00C23301" w:rsidRPr="002644F8" w:rsidRDefault="00C23301" w:rsidP="0060227D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C5F1B96" w14:textId="77777777" w:rsidTr="003A7BA4">
        <w:tc>
          <w:tcPr>
            <w:tcW w:w="6550" w:type="dxa"/>
            <w:shd w:val="clear" w:color="auto" w:fill="auto"/>
          </w:tcPr>
          <w:p w14:paraId="0CA282A9" w14:textId="155B1D0B" w:rsidR="00802D13" w:rsidRPr="002644F8" w:rsidRDefault="00C23301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2126" w:type="dxa"/>
            <w:shd w:val="clear" w:color="auto" w:fill="auto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1135" w:type="dxa"/>
            <w:shd w:val="clear" w:color="auto" w:fill="auto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3A7BA4">
        <w:tc>
          <w:tcPr>
            <w:tcW w:w="6550" w:type="dxa"/>
            <w:shd w:val="clear" w:color="auto" w:fill="auto"/>
          </w:tcPr>
          <w:p w14:paraId="5DEFB08A" w14:textId="12E91C8E" w:rsidR="00802D13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I. Tehnici de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ice-breaking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F5484C9" w14:textId="3A40BF2A" w:rsidR="00802D13" w:rsidRPr="00BD7ECB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exerciții practice</w:t>
            </w:r>
          </w:p>
        </w:tc>
        <w:tc>
          <w:tcPr>
            <w:tcW w:w="1135" w:type="dxa"/>
            <w:shd w:val="clear" w:color="auto" w:fill="auto"/>
          </w:tcPr>
          <w:p w14:paraId="7876E703" w14:textId="540052BA" w:rsidR="00802D13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</w:rPr>
              <w:t>2 ore</w:t>
            </w:r>
          </w:p>
        </w:tc>
      </w:tr>
      <w:tr w:rsidR="00BD7ECB" w:rsidRPr="00C4385C" w14:paraId="6F23517E" w14:textId="77777777" w:rsidTr="003A7BA4">
        <w:tc>
          <w:tcPr>
            <w:tcW w:w="6550" w:type="dxa"/>
            <w:shd w:val="clear" w:color="auto" w:fill="auto"/>
          </w:tcPr>
          <w:p w14:paraId="74687D21" w14:textId="2477BF0C" w:rsidR="00BD7ECB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II-III. Tehnici de activare și dinamizare a grupului</w:t>
            </w:r>
          </w:p>
        </w:tc>
        <w:tc>
          <w:tcPr>
            <w:tcW w:w="2126" w:type="dxa"/>
            <w:shd w:val="clear" w:color="auto" w:fill="auto"/>
          </w:tcPr>
          <w:p w14:paraId="67955425" w14:textId="435D67F5" w:rsidR="00BD7ECB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exerciții practice</w:t>
            </w:r>
          </w:p>
        </w:tc>
        <w:tc>
          <w:tcPr>
            <w:tcW w:w="1135" w:type="dxa"/>
            <w:shd w:val="clear" w:color="auto" w:fill="auto"/>
          </w:tcPr>
          <w:p w14:paraId="66CA04B4" w14:textId="5445E2AD" w:rsidR="00BD7ECB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</w:rPr>
              <w:t>4 ore</w:t>
            </w:r>
          </w:p>
        </w:tc>
      </w:tr>
      <w:tr w:rsidR="00BD7ECB" w:rsidRPr="00C4385C" w14:paraId="0689192E" w14:textId="77777777" w:rsidTr="003A7BA4">
        <w:tc>
          <w:tcPr>
            <w:tcW w:w="6550" w:type="dxa"/>
            <w:shd w:val="clear" w:color="auto" w:fill="auto"/>
          </w:tcPr>
          <w:p w14:paraId="248BDF36" w14:textId="22052B5B" w:rsidR="00BD7ECB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IV-VI. Tehnici de măsurare a comunicării de grup: analiza de conținut, sociometria, analiza de rețea</w:t>
            </w:r>
          </w:p>
        </w:tc>
        <w:tc>
          <w:tcPr>
            <w:tcW w:w="2126" w:type="dxa"/>
            <w:shd w:val="clear" w:color="auto" w:fill="auto"/>
          </w:tcPr>
          <w:p w14:paraId="24FED80F" w14:textId="716A0A14" w:rsidR="00BD7ECB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exerciții practice</w:t>
            </w:r>
          </w:p>
        </w:tc>
        <w:tc>
          <w:tcPr>
            <w:tcW w:w="1135" w:type="dxa"/>
            <w:shd w:val="clear" w:color="auto" w:fill="auto"/>
          </w:tcPr>
          <w:p w14:paraId="5FB38F30" w14:textId="7B7B9144" w:rsidR="00BD7ECB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</w:rPr>
              <w:t>6 ore</w:t>
            </w:r>
          </w:p>
        </w:tc>
      </w:tr>
      <w:tr w:rsidR="00802D13" w:rsidRPr="00C4385C" w14:paraId="18DD56B5" w14:textId="77777777" w:rsidTr="003A7BA4">
        <w:tc>
          <w:tcPr>
            <w:tcW w:w="6550" w:type="dxa"/>
            <w:shd w:val="clear" w:color="auto" w:fill="auto"/>
          </w:tcPr>
          <w:p w14:paraId="03C669FA" w14:textId="16EEF2C9" w:rsidR="00802D13" w:rsidRPr="00BD7ECB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553275">
              <w:rPr>
                <w:rFonts w:asciiTheme="minorHAnsi" w:hAnsiTheme="minorHAnsi" w:cstheme="minorHAnsi"/>
                <w:i/>
                <w:lang w:val="ro-RO"/>
              </w:rPr>
              <w:t xml:space="preserve">VII. Realizarea unui proiect de </w:t>
            </w:r>
            <w:proofErr w:type="spellStart"/>
            <w:r w:rsidRPr="00553275">
              <w:rPr>
                <w:rFonts w:asciiTheme="minorHAnsi" w:hAnsiTheme="minorHAnsi" w:cstheme="minorHAnsi"/>
                <w:i/>
                <w:lang w:val="ro-RO"/>
              </w:rPr>
              <w:t>intervenţie</w:t>
            </w:r>
            <w:proofErr w:type="spellEnd"/>
            <w:r w:rsidRPr="00553275">
              <w:rPr>
                <w:rFonts w:asciiTheme="minorHAnsi" w:hAnsiTheme="minorHAnsi" w:cstheme="minorHAnsi"/>
                <w:i/>
                <w:lang w:val="ro-RO"/>
              </w:rPr>
              <w:t xml:space="preserve"> asupra comunicării de grup</w:t>
            </w:r>
            <w:r w:rsidRPr="00553275">
              <w:rPr>
                <w:rFonts w:asciiTheme="minorHAnsi" w:hAnsiTheme="minorHAnsi" w:cstheme="minorHAnsi"/>
                <w:lang w:val="ro-RO"/>
              </w:rPr>
              <w:t xml:space="preserve">, prin proiectarea, </w:t>
            </w:r>
            <w:proofErr w:type="spellStart"/>
            <w:r w:rsidRPr="00553275">
              <w:rPr>
                <w:rFonts w:asciiTheme="minorHAnsi" w:hAnsiTheme="minorHAnsi" w:cstheme="minorHAnsi"/>
                <w:lang w:val="ro-RO"/>
              </w:rPr>
              <w:t>iniţierea</w:t>
            </w:r>
            <w:proofErr w:type="spellEnd"/>
            <w:r w:rsidRPr="00553275">
              <w:rPr>
                <w:rFonts w:asciiTheme="minorHAnsi" w:hAnsiTheme="minorHAnsi" w:cstheme="minorHAnsi"/>
                <w:lang w:val="ro-RO"/>
              </w:rPr>
              <w:t xml:space="preserve">, moderarea </w:t>
            </w:r>
            <w:proofErr w:type="spellStart"/>
            <w:r w:rsidRPr="00553275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553275">
              <w:rPr>
                <w:rFonts w:asciiTheme="minorHAnsi" w:hAnsiTheme="minorHAnsi" w:cstheme="minorHAnsi"/>
                <w:lang w:val="ro-RO"/>
              </w:rPr>
              <w:t xml:space="preserve"> interpretarea unui joc de grup destinat facilitării comunicării informale </w:t>
            </w:r>
            <w:proofErr w:type="spellStart"/>
            <w:r w:rsidRPr="00553275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553275">
              <w:rPr>
                <w:rFonts w:asciiTheme="minorHAnsi" w:hAnsiTheme="minorHAnsi" w:cstheme="minorHAnsi"/>
                <w:lang w:val="ro-RO"/>
              </w:rPr>
              <w:t xml:space="preserve"> deblocării canalelor de comunicare. </w:t>
            </w:r>
            <w:proofErr w:type="spellStart"/>
            <w:r w:rsidRPr="00BD7ECB">
              <w:rPr>
                <w:rFonts w:asciiTheme="minorHAnsi" w:hAnsiTheme="minorHAnsi" w:cstheme="minorHAnsi"/>
              </w:rPr>
              <w:t>Intervenţia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 se </w:t>
            </w:r>
            <w:proofErr w:type="spellStart"/>
            <w:r w:rsidRPr="00BD7ECB">
              <w:rPr>
                <w:rFonts w:asciiTheme="minorHAnsi" w:hAnsiTheme="minorHAnsi" w:cstheme="minorHAnsi"/>
              </w:rPr>
              <w:t>va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</w:rPr>
              <w:t>derula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 pe </w:t>
            </w:r>
            <w:proofErr w:type="spellStart"/>
            <w:r w:rsidRPr="00BD7ECB">
              <w:rPr>
                <w:rFonts w:asciiTheme="minorHAnsi" w:hAnsiTheme="minorHAnsi" w:cstheme="minorHAnsi"/>
              </w:rPr>
              <w:t>parcursul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</w:rPr>
              <w:t>semestrului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, cu </w:t>
            </w:r>
            <w:proofErr w:type="spellStart"/>
            <w:r w:rsidRPr="00BD7ECB">
              <w:rPr>
                <w:rFonts w:asciiTheme="minorHAnsi" w:hAnsiTheme="minorHAnsi" w:cstheme="minorHAnsi"/>
              </w:rPr>
              <w:t>monitorizarea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</w:rPr>
              <w:t>continuă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BD7ECB">
              <w:rPr>
                <w:rFonts w:asciiTheme="minorHAnsi" w:hAnsiTheme="minorHAnsi" w:cstheme="minorHAnsi"/>
              </w:rPr>
              <w:t>a</w:t>
            </w:r>
            <w:proofErr w:type="gramEnd"/>
            <w:r w:rsidRPr="00BD7E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</w:rPr>
              <w:t>etapelor</w:t>
            </w:r>
            <w:proofErr w:type="spellEnd"/>
            <w:r w:rsidRPr="00BD7E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</w:rPr>
              <w:t>realizate</w:t>
            </w:r>
            <w:proofErr w:type="spellEnd"/>
            <w:r w:rsidRPr="00BD7EC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DDC5DAE" w14:textId="0C118692" w:rsidR="00802D13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exerciții practice</w:t>
            </w:r>
          </w:p>
        </w:tc>
        <w:tc>
          <w:tcPr>
            <w:tcW w:w="1135" w:type="dxa"/>
            <w:shd w:val="clear" w:color="auto" w:fill="auto"/>
          </w:tcPr>
          <w:p w14:paraId="3A02CF74" w14:textId="7DE053A0" w:rsidR="00802D13" w:rsidRPr="002644F8" w:rsidRDefault="00BD7ECB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</w:rPr>
              <w:t>2 ore</w:t>
            </w:r>
          </w:p>
        </w:tc>
      </w:tr>
      <w:tr w:rsidR="00802D13" w:rsidRPr="00C4385C" w14:paraId="53EC0F9B" w14:textId="77777777" w:rsidTr="003A7BA4">
        <w:tc>
          <w:tcPr>
            <w:tcW w:w="9814" w:type="dxa"/>
            <w:gridSpan w:val="3"/>
            <w:shd w:val="clear" w:color="auto" w:fill="auto"/>
          </w:tcPr>
          <w:p w14:paraId="57B21B7F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47679DED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Badillo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R.P., The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emancipative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theory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Jurgen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Habermas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Metaphysics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Washington, 1991;</w:t>
            </w:r>
          </w:p>
          <w:p w14:paraId="6D226E34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Berger,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A.A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(1998), Media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research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techniques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Sage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Publications</w:t>
            </w:r>
            <w:proofErr w:type="spellEnd"/>
          </w:p>
          <w:p w14:paraId="5CEAAA50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Bertrand, C.J., Deontologia mijloacelor de comunicare, Institutul European,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Iaşi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2000;</w:t>
            </w:r>
          </w:p>
          <w:p w14:paraId="3194AEC8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Castells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M., The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Informational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City: Information Technology Economic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Restructuring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Urban-Regional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Process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Blakwell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Oxford, 1989;</w:t>
            </w:r>
          </w:p>
          <w:p w14:paraId="300201D4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Caune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J., (2000), Cultură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comunicare, Cartea românească</w:t>
            </w:r>
          </w:p>
          <w:p w14:paraId="580CED51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Dobresu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P.,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Bârgăoanu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A., (2002), Puterea fără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contraputere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All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</w:p>
          <w:p w14:paraId="02F92B53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Englewood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C., Mass-media in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Information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Age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Prentice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Hall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1990;</w:t>
            </w:r>
          </w:p>
          <w:p w14:paraId="2BFFBC09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Foucault, M., Ordinea discursului,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1998;</w:t>
            </w:r>
          </w:p>
          <w:p w14:paraId="0CDD778C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Gesselman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A.N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., Ta V.P., Garcia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J.R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., 2019.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Worth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thousand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interpersonal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words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: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Emoji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as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affective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signals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for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relationship-oriented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digital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communication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.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PLoS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ONE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14(8): e0221297. https://doi.org/10.1371/journal.pone.0221297</w:t>
            </w:r>
          </w:p>
          <w:p w14:paraId="273FEAE9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Habermas, J.,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Cunoaştere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comunicare, Ed. Politică,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1983;</w:t>
            </w:r>
          </w:p>
          <w:p w14:paraId="5A23B732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Haineş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R., (2002), Televiziunea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reconfigurarea politicului, Polirom 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Iaşi</w:t>
            </w:r>
            <w:proofErr w:type="spellEnd"/>
          </w:p>
          <w:p w14:paraId="2737EF1A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Lasswell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D. -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Language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Politics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Cambridge, MIT Press, 1965</w:t>
            </w:r>
          </w:p>
          <w:p w14:paraId="27DC8E8A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McLuhan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M., Mass-media sau mediul invizibil, Nemira,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1997;</w:t>
            </w:r>
          </w:p>
          <w:p w14:paraId="535512A8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Meadows, A.,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Knowledge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communication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London, 1991;</w:t>
            </w:r>
          </w:p>
          <w:p w14:paraId="01B99EA9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Miege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B., Societatea cucerită de comunicare, Polirom,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Iaşi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2000;</w:t>
            </w:r>
          </w:p>
          <w:p w14:paraId="490874E3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Mişcol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O., Cultură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comunicare, Oscar Print,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2000;</w:t>
            </w:r>
          </w:p>
          <w:p w14:paraId="64790AD9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Nadolu B. Sociologia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spaţiilor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virtuale,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Eurostampa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Timişoara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2004</w:t>
            </w:r>
          </w:p>
          <w:p w14:paraId="12A20445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Ritt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A., Comunicarea,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Timişoara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1997;</w:t>
            </w:r>
          </w:p>
          <w:p w14:paraId="6C8A91F2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Rovenţa-Frumuşani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D., Semiotică - societate - cultură, Institutul European,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Iaşi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1999;</w:t>
            </w:r>
          </w:p>
          <w:p w14:paraId="1B0DEAAD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Runcan, M., Introducere în etica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legislaţia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presei,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All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1998;</w:t>
            </w:r>
          </w:p>
          <w:p w14:paraId="7FF0A8C3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Schiller, H., Mass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Communication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and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American Empire,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N.Y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., Augustus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M.Kelly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1969;</w:t>
            </w:r>
          </w:p>
          <w:p w14:paraId="4E8750B4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Sibilla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F., Mancini, T. I am (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not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)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my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avatar: 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review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user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-avatar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relationships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in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Massively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Multiplayer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Online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Worlds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.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Cyberpsychology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: Journal of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Psychosocial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Research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on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Cyberspace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. 2018 12(3), http://dx.doi.org/10.5817/CP2018-3-4</w:t>
            </w:r>
          </w:p>
          <w:p w14:paraId="382FD9A4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Şincai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A.,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Informaţie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comunicare, Paralela 45,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Piteşti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2000;</w:t>
            </w:r>
          </w:p>
          <w:p w14:paraId="1EBD30A9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lastRenderedPageBreak/>
              <w:t xml:space="preserve">Teodorescu, Gh., Putere, autoritate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comunicare politică, Nemira,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2000;</w:t>
            </w:r>
          </w:p>
          <w:p w14:paraId="5B009331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Toffler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A.,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Powershift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Antet,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1997;</w:t>
            </w:r>
          </w:p>
          <w:p w14:paraId="401BA9CC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Toffler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A., Previziuni. Premise, Antet,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1999;</w:t>
            </w:r>
          </w:p>
          <w:p w14:paraId="004DDFA3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Umberto Eco, Tratat de semiotică generală, Ed.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Ştiinţifică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Enciclopedică,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1982;</w:t>
            </w:r>
          </w:p>
          <w:p w14:paraId="4689329A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Wald, L., Sisteme de comunicare umană, Editura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Ştiinţifică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Bucureşti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1973</w:t>
            </w:r>
          </w:p>
          <w:p w14:paraId="1867153E" w14:textId="77777777" w:rsidR="00BD7ECB" w:rsidRPr="00BD7ECB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Webster, F.,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Theories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of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the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 xml:space="preserve"> Information Society,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Routledge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London, 1995</w:t>
            </w:r>
          </w:p>
          <w:p w14:paraId="5E328A2F" w14:textId="45A69E7A" w:rsidR="00802D13" w:rsidRPr="002644F8" w:rsidRDefault="00BD7ECB" w:rsidP="00BD7EC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D7ECB">
              <w:rPr>
                <w:rFonts w:asciiTheme="minorHAnsi" w:hAnsiTheme="minorHAnsi" w:cstheme="minorHAnsi"/>
                <w:lang w:val="ro-RO"/>
              </w:rPr>
              <w:t xml:space="preserve">Woodrow, A., Information - </w:t>
            </w:r>
            <w:proofErr w:type="spellStart"/>
            <w:r w:rsidRPr="00BD7ECB">
              <w:rPr>
                <w:rFonts w:asciiTheme="minorHAnsi" w:hAnsiTheme="minorHAnsi" w:cstheme="minorHAnsi"/>
                <w:lang w:val="ro-RO"/>
              </w:rPr>
              <w:t>Manipulation</w:t>
            </w:r>
            <w:proofErr w:type="spellEnd"/>
            <w:r w:rsidRPr="00BD7ECB">
              <w:rPr>
                <w:rFonts w:asciiTheme="minorHAnsi" w:hAnsiTheme="minorHAnsi" w:cstheme="minorHAnsi"/>
                <w:lang w:val="ro-RO"/>
              </w:rPr>
              <w:t>, Ed. du Felin, 1990;</w:t>
            </w: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3DFA5CCD" w:rsidR="00E0255D" w:rsidRPr="00BD7ECB" w:rsidRDefault="00BD7ECB" w:rsidP="00802D13">
            <w:pPr>
              <w:pStyle w:val="NoSpacing"/>
              <w:numPr>
                <w:ilvl w:val="0"/>
                <w:numId w:val="28"/>
              </w:numPr>
              <w:rPr>
                <w:lang w:val="ro-RO"/>
              </w:rPr>
            </w:pPr>
            <w:proofErr w:type="spellStart"/>
            <w:r>
              <w:rPr>
                <w:lang w:val="ro-RO"/>
              </w:rPr>
              <w:t>Conţinuturile</w:t>
            </w:r>
            <w:proofErr w:type="spellEnd"/>
            <w:r>
              <w:rPr>
                <w:lang w:val="ro-RO"/>
              </w:rPr>
              <w:t xml:space="preserve"> tematice abordate prezintă un nivel ridicat de compatibilitate cu ofertele de profil atât din România dar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de la nivel global. </w:t>
            </w:r>
            <w:proofErr w:type="spellStart"/>
            <w:r>
              <w:rPr>
                <w:lang w:val="ro-RO"/>
              </w:rPr>
              <w:t>Activităţile</w:t>
            </w:r>
            <w:proofErr w:type="spellEnd"/>
            <w:r>
              <w:rPr>
                <w:lang w:val="ro-RO"/>
              </w:rPr>
              <w:t xml:space="preserve"> de curs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de seminar proiectate includ </w:t>
            </w:r>
            <w:proofErr w:type="spellStart"/>
            <w:r>
              <w:rPr>
                <w:lang w:val="ro-RO"/>
              </w:rPr>
              <w:t>şi</w:t>
            </w:r>
            <w:proofErr w:type="spellEnd"/>
            <w:r>
              <w:rPr>
                <w:lang w:val="ro-RO"/>
              </w:rPr>
              <w:t xml:space="preserve"> subiecte de actualitate în domeniul comunicării interpersonale și de grup promovate în jurnalele de specialitate.</w:t>
            </w: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98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5387"/>
        <w:gridCol w:w="1559"/>
        <w:gridCol w:w="1701"/>
        <w:gridCol w:w="10"/>
      </w:tblGrid>
      <w:tr w:rsidR="00E0255D" w:rsidRPr="00C4385C" w14:paraId="580DDEA8" w14:textId="77777777" w:rsidTr="00BD7ECB">
        <w:trPr>
          <w:gridAfter w:val="1"/>
          <w:wAfter w:w="10" w:type="dxa"/>
        </w:trPr>
        <w:tc>
          <w:tcPr>
            <w:tcW w:w="1163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5387" w:type="dxa"/>
            <w:shd w:val="clear" w:color="auto" w:fill="auto"/>
          </w:tcPr>
          <w:p w14:paraId="46CB3910" w14:textId="15155F05" w:rsidR="00E0255D" w:rsidRPr="00C4385C" w:rsidRDefault="00C2330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1559" w:type="dxa"/>
            <w:shd w:val="clear" w:color="auto" w:fill="auto"/>
          </w:tcPr>
          <w:p w14:paraId="7D590296" w14:textId="6E133469" w:rsidR="00E0255D" w:rsidRPr="00C4385C" w:rsidRDefault="00C2330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701" w:type="dxa"/>
            <w:shd w:val="clear" w:color="auto" w:fill="auto"/>
          </w:tcPr>
          <w:p w14:paraId="5AC52449" w14:textId="0FADC83B" w:rsidR="00E0255D" w:rsidRPr="00C4385C" w:rsidRDefault="00C2330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BD7ECB" w:rsidRPr="00C4385C" w14:paraId="70F082A4" w14:textId="77777777" w:rsidTr="00BD7ECB">
        <w:trPr>
          <w:gridAfter w:val="1"/>
          <w:wAfter w:w="10" w:type="dxa"/>
          <w:trHeight w:val="363"/>
        </w:trPr>
        <w:tc>
          <w:tcPr>
            <w:tcW w:w="1163" w:type="dxa"/>
            <w:shd w:val="clear" w:color="auto" w:fill="auto"/>
          </w:tcPr>
          <w:p w14:paraId="2723C094" w14:textId="76D2E8FF" w:rsidR="00BD7ECB" w:rsidRPr="00C4385C" w:rsidRDefault="00C23301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BD7ECB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5387" w:type="dxa"/>
            <w:shd w:val="clear" w:color="auto" w:fill="auto"/>
          </w:tcPr>
          <w:p w14:paraId="4C213948" w14:textId="778A459C" w:rsidR="00BD7ECB" w:rsidRPr="00C4385C" w:rsidRDefault="00BD7ECB" w:rsidP="0060227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 xml:space="preserve">test grila </w:t>
            </w:r>
          </w:p>
        </w:tc>
        <w:tc>
          <w:tcPr>
            <w:tcW w:w="1559" w:type="dxa"/>
            <w:shd w:val="clear" w:color="auto" w:fill="auto"/>
          </w:tcPr>
          <w:p w14:paraId="319F6BCE" w14:textId="2C72BF78" w:rsidR="00BD7ECB" w:rsidRPr="00C4385C" w:rsidRDefault="00BD7ECB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7F0E32">
              <w:rPr>
                <w:lang w:val="ro-RO"/>
              </w:rPr>
              <w:t>răspunsurile la examen</w:t>
            </w:r>
          </w:p>
        </w:tc>
        <w:tc>
          <w:tcPr>
            <w:tcW w:w="1701" w:type="dxa"/>
            <w:shd w:val="clear" w:color="auto" w:fill="auto"/>
          </w:tcPr>
          <w:p w14:paraId="4BF77FD9" w14:textId="49282CD2" w:rsidR="00BD7ECB" w:rsidRPr="00C4385C" w:rsidRDefault="00BD7ECB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>in completare la punctajul obținut la portofoliu</w:t>
            </w:r>
          </w:p>
        </w:tc>
      </w:tr>
      <w:tr w:rsidR="00BD7ECB" w:rsidRPr="00C4385C" w14:paraId="51B60B6B" w14:textId="77777777" w:rsidTr="00BD7ECB">
        <w:trPr>
          <w:gridAfter w:val="1"/>
          <w:wAfter w:w="10" w:type="dxa"/>
          <w:trHeight w:val="567"/>
        </w:trPr>
        <w:tc>
          <w:tcPr>
            <w:tcW w:w="1163" w:type="dxa"/>
            <w:shd w:val="clear" w:color="auto" w:fill="auto"/>
          </w:tcPr>
          <w:p w14:paraId="55D0D379" w14:textId="4468205B" w:rsidR="00BD7ECB" w:rsidRPr="00C4385C" w:rsidRDefault="00C23301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BD7ECB"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5387" w:type="dxa"/>
            <w:shd w:val="clear" w:color="auto" w:fill="auto"/>
          </w:tcPr>
          <w:p w14:paraId="254C400B" w14:textId="77777777" w:rsidR="00BD7ECB" w:rsidRDefault="00BD7ECB" w:rsidP="00BD7ECB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Realizarea unui portofoliu pe parcursul semestrului (opțional) cu următoare teme:</w:t>
            </w:r>
          </w:p>
          <w:p w14:paraId="68557E56" w14:textId="2371E4B4" w:rsidR="00BD7ECB" w:rsidRDefault="0060227D" w:rsidP="00BD7ECB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BD7ECB">
              <w:rPr>
                <w:lang w:val="ro-RO"/>
              </w:rPr>
              <w:t>. Realizarea unu</w:t>
            </w:r>
            <w:r>
              <w:rPr>
                <w:lang w:val="ro-RO"/>
              </w:rPr>
              <w:t>i test sociometric pe un grup (2</w:t>
            </w:r>
            <w:r w:rsidR="00BD7ECB">
              <w:rPr>
                <w:lang w:val="ro-RO"/>
              </w:rPr>
              <w:t>p.)</w:t>
            </w:r>
          </w:p>
          <w:p w14:paraId="32DCA433" w14:textId="456D071E" w:rsidR="00BD7ECB" w:rsidRDefault="0060227D" w:rsidP="00BD7ECB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BD7ECB">
              <w:rPr>
                <w:lang w:val="ro-RO"/>
              </w:rPr>
              <w:t>. Moderarea unui joc de activare a grup</w:t>
            </w:r>
            <w:r>
              <w:rPr>
                <w:lang w:val="ro-RO"/>
              </w:rPr>
              <w:t>ului – deblocarea comunicării (2</w:t>
            </w:r>
            <w:r w:rsidR="00BD7ECB">
              <w:rPr>
                <w:lang w:val="ro-RO"/>
              </w:rPr>
              <w:t>p.)</w:t>
            </w:r>
          </w:p>
          <w:p w14:paraId="474DB993" w14:textId="4E1CFEEB" w:rsidR="00BD7ECB" w:rsidRPr="00C4385C" w:rsidRDefault="0060227D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>3</w:t>
            </w:r>
            <w:r w:rsidR="00BD7ECB">
              <w:rPr>
                <w:lang w:val="ro-RO"/>
              </w:rPr>
              <w:t>. Pentru implicarea in dezbaterile de la curs/seminar se mai poate acorda cate 1 punct / activitate.</w:t>
            </w:r>
          </w:p>
        </w:tc>
        <w:tc>
          <w:tcPr>
            <w:tcW w:w="1559" w:type="dxa"/>
            <w:shd w:val="clear" w:color="auto" w:fill="auto"/>
          </w:tcPr>
          <w:p w14:paraId="0BD51678" w14:textId="2CFBCD09" w:rsidR="00BD7ECB" w:rsidRPr="00C4385C" w:rsidRDefault="00BD7ECB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>prezentarea si evaluare lucrări</w:t>
            </w:r>
          </w:p>
        </w:tc>
        <w:tc>
          <w:tcPr>
            <w:tcW w:w="1701" w:type="dxa"/>
            <w:shd w:val="clear" w:color="auto" w:fill="auto"/>
          </w:tcPr>
          <w:p w14:paraId="0AA4073B" w14:textId="4FAB3E85" w:rsidR="00BD7ECB" w:rsidRPr="00C4385C" w:rsidRDefault="0060227D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>până la 5</w:t>
            </w:r>
            <w:r w:rsidR="00BD7ECB">
              <w:rPr>
                <w:lang w:val="ro-RO"/>
              </w:rPr>
              <w:t>0%</w:t>
            </w:r>
          </w:p>
        </w:tc>
      </w:tr>
      <w:tr w:rsidR="00BD7ECB" w:rsidRPr="00C4385C" w14:paraId="7753BD29" w14:textId="77777777" w:rsidTr="00BD7ECB">
        <w:trPr>
          <w:trHeight w:val="413"/>
        </w:trPr>
        <w:tc>
          <w:tcPr>
            <w:tcW w:w="9820" w:type="dxa"/>
            <w:gridSpan w:val="5"/>
            <w:shd w:val="clear" w:color="auto" w:fill="auto"/>
          </w:tcPr>
          <w:p w14:paraId="1AEC53B3" w14:textId="4CA16F7F" w:rsidR="00BD7ECB" w:rsidRPr="00C4385C" w:rsidRDefault="00C23301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BD7ECB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BD7ECB" w:rsidRPr="00C4385C" w14:paraId="00CB4107" w14:textId="77777777" w:rsidTr="00BD7ECB">
        <w:trPr>
          <w:trHeight w:val="413"/>
        </w:trPr>
        <w:tc>
          <w:tcPr>
            <w:tcW w:w="9820" w:type="dxa"/>
            <w:gridSpan w:val="5"/>
            <w:shd w:val="clear" w:color="auto" w:fill="auto"/>
          </w:tcPr>
          <w:p w14:paraId="63D51674" w14:textId="5DF6F8B8" w:rsidR="00BD7ECB" w:rsidRPr="00C4385C" w:rsidRDefault="00BD7ECB" w:rsidP="00BD7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 xml:space="preserve">Participarea la minim 50% dintre </w:t>
            </w:r>
            <w:proofErr w:type="spellStart"/>
            <w:r>
              <w:rPr>
                <w:lang w:val="ro-RO"/>
              </w:rPr>
              <w:t>activitati</w:t>
            </w:r>
            <w:proofErr w:type="spellEnd"/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530DA805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02BBEA29" w14:textId="4C0A12F5" w:rsidR="005F6BF6" w:rsidRDefault="0060227D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</w:t>
      </w:r>
      <w:r w:rsidR="00553275">
        <w:rPr>
          <w:rFonts w:asciiTheme="minorHAnsi" w:eastAsia="Calibri" w:hAnsiTheme="minorHAnsi" w:cstheme="minorHAnsi"/>
        </w:rPr>
        <w:t>3</w:t>
      </w:r>
      <w:r>
        <w:rPr>
          <w:rFonts w:asciiTheme="minorHAnsi" w:eastAsia="Calibri" w:hAnsiTheme="minorHAnsi" w:cstheme="minorHAnsi"/>
        </w:rPr>
        <w:t xml:space="preserve"> septembrie 202</w:t>
      </w:r>
      <w:r w:rsidR="00553275">
        <w:rPr>
          <w:rFonts w:asciiTheme="minorHAnsi" w:eastAsia="Calibri" w:hAnsiTheme="minorHAnsi" w:cstheme="minorHAnsi"/>
        </w:rPr>
        <w:t>3</w:t>
      </w:r>
      <w:r w:rsidR="00BD7ECB">
        <w:rPr>
          <w:rFonts w:asciiTheme="minorHAnsi" w:eastAsia="Calibri" w:hAnsiTheme="minorHAnsi" w:cstheme="minorHAnsi"/>
        </w:rPr>
        <w:tab/>
      </w:r>
      <w:r w:rsidR="00BD7ECB">
        <w:rPr>
          <w:rFonts w:asciiTheme="minorHAnsi" w:eastAsia="Calibri" w:hAnsiTheme="minorHAnsi" w:cstheme="minorHAnsi"/>
        </w:rPr>
        <w:tab/>
      </w:r>
      <w:r w:rsidR="00BD7ECB">
        <w:rPr>
          <w:rFonts w:asciiTheme="minorHAnsi" w:eastAsia="Calibri" w:hAnsiTheme="minorHAnsi" w:cstheme="minorHAnsi"/>
        </w:rPr>
        <w:tab/>
      </w:r>
      <w:r w:rsidR="00BD7ECB">
        <w:rPr>
          <w:rFonts w:asciiTheme="minorHAnsi" w:eastAsia="Calibri" w:hAnsiTheme="minorHAnsi" w:cstheme="minorHAnsi"/>
        </w:rPr>
        <w:tab/>
      </w:r>
      <w:r w:rsidR="00BD7ECB">
        <w:rPr>
          <w:rFonts w:asciiTheme="minorHAnsi" w:eastAsia="Calibri" w:hAnsiTheme="minorHAnsi" w:cstheme="minorHAnsi"/>
        </w:rPr>
        <w:tab/>
      </w:r>
      <w:r w:rsidR="00BD7ECB">
        <w:rPr>
          <w:rFonts w:asciiTheme="minorHAnsi" w:eastAsia="Calibri" w:hAnsiTheme="minorHAnsi" w:cstheme="minorHAnsi"/>
        </w:rPr>
        <w:tab/>
      </w:r>
      <w:r w:rsidR="00BD7ECB">
        <w:rPr>
          <w:rFonts w:asciiTheme="minorHAnsi" w:eastAsia="Calibri" w:hAnsiTheme="minorHAnsi" w:cstheme="minorHAnsi"/>
        </w:rPr>
        <w:tab/>
        <w:t>conf.dr. Bogdan NADOLU</w:t>
      </w: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1816E" w14:textId="77777777" w:rsidR="005F745D" w:rsidRDefault="005F745D" w:rsidP="003E226A">
      <w:r>
        <w:separator/>
      </w:r>
    </w:p>
  </w:endnote>
  <w:endnote w:type="continuationSeparator" w:id="0">
    <w:p w14:paraId="51DBA06E" w14:textId="77777777" w:rsidR="005F745D" w:rsidRDefault="005F745D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88521" w14:textId="77777777" w:rsidR="005F745D" w:rsidRDefault="005F745D" w:rsidP="003E226A">
      <w:r>
        <w:separator/>
      </w:r>
    </w:p>
  </w:footnote>
  <w:footnote w:type="continuationSeparator" w:id="0">
    <w:p w14:paraId="5A83A6D4" w14:textId="77777777" w:rsidR="005F745D" w:rsidRDefault="005F745D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F025B" w14:textId="1327F258" w:rsidR="001D34E8" w:rsidRDefault="004A3231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  <w:lang w:val="en-US" w:eastAsia="en-US"/>
      </w:rPr>
      <w:drawing>
        <wp:anchor distT="0" distB="0" distL="114300" distR="114300" simplePos="0" relativeHeight="251701248" behindDoc="0" locked="0" layoutInCell="1" allowOverlap="1" wp14:anchorId="7E88DFF3" wp14:editId="64046024">
          <wp:simplePos x="0" y="0"/>
          <wp:positionH relativeFrom="page">
            <wp:posOffset>900430</wp:posOffset>
          </wp:positionH>
          <wp:positionV relativeFrom="paragraph">
            <wp:posOffset>-635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714E2AE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A45354"/>
    <w:multiLevelType w:val="hybridMultilevel"/>
    <w:tmpl w:val="8FE6E424"/>
    <w:lvl w:ilvl="0" w:tplc="0409000B">
      <w:start w:val="1"/>
      <w:numFmt w:val="bullet"/>
      <w:lvlText w:val=""/>
      <w:lvlJc w:val="left"/>
      <w:pPr>
        <w:tabs>
          <w:tab w:val="num" w:pos="753"/>
        </w:tabs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2"/>
  </w:num>
  <w:num w:numId="4">
    <w:abstractNumId w:val="7"/>
  </w:num>
  <w:num w:numId="5">
    <w:abstractNumId w:val="26"/>
  </w:num>
  <w:num w:numId="6">
    <w:abstractNumId w:val="13"/>
  </w:num>
  <w:num w:numId="7">
    <w:abstractNumId w:val="8"/>
  </w:num>
  <w:num w:numId="8">
    <w:abstractNumId w:val="5"/>
  </w:num>
  <w:num w:numId="9">
    <w:abstractNumId w:val="18"/>
  </w:num>
  <w:num w:numId="10">
    <w:abstractNumId w:val="16"/>
  </w:num>
  <w:num w:numId="11">
    <w:abstractNumId w:val="14"/>
  </w:num>
  <w:num w:numId="12">
    <w:abstractNumId w:val="10"/>
  </w:num>
  <w:num w:numId="13">
    <w:abstractNumId w:val="24"/>
  </w:num>
  <w:num w:numId="14">
    <w:abstractNumId w:val="3"/>
  </w:num>
  <w:num w:numId="15">
    <w:abstractNumId w:val="11"/>
  </w:num>
  <w:num w:numId="16">
    <w:abstractNumId w:val="20"/>
  </w:num>
  <w:num w:numId="17">
    <w:abstractNumId w:val="28"/>
  </w:num>
  <w:num w:numId="18">
    <w:abstractNumId w:val="9"/>
  </w:num>
  <w:num w:numId="19">
    <w:abstractNumId w:val="4"/>
  </w:num>
  <w:num w:numId="20">
    <w:abstractNumId w:val="15"/>
  </w:num>
  <w:num w:numId="21">
    <w:abstractNumId w:val="22"/>
  </w:num>
  <w:num w:numId="22">
    <w:abstractNumId w:val="27"/>
  </w:num>
  <w:num w:numId="23">
    <w:abstractNumId w:val="17"/>
  </w:num>
  <w:num w:numId="24">
    <w:abstractNumId w:val="25"/>
  </w:num>
  <w:num w:numId="25">
    <w:abstractNumId w:val="30"/>
  </w:num>
  <w:num w:numId="26">
    <w:abstractNumId w:val="2"/>
  </w:num>
  <w:num w:numId="27">
    <w:abstractNumId w:val="19"/>
  </w:num>
  <w:num w:numId="28">
    <w:abstractNumId w:val="21"/>
  </w:num>
  <w:num w:numId="29">
    <w:abstractNumId w:val="6"/>
  </w:num>
  <w:num w:numId="30">
    <w:abstractNumId w:val="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17DD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475E8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BA4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A3231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3506A"/>
    <w:rsid w:val="00541391"/>
    <w:rsid w:val="0054275A"/>
    <w:rsid w:val="0054438F"/>
    <w:rsid w:val="00546A4B"/>
    <w:rsid w:val="0055224E"/>
    <w:rsid w:val="00553275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5F745D"/>
    <w:rsid w:val="00601B39"/>
    <w:rsid w:val="0060227D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A7DB3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E6FF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D7ECB"/>
    <w:rsid w:val="00BF0AE6"/>
    <w:rsid w:val="00BF1DAB"/>
    <w:rsid w:val="00BF305D"/>
    <w:rsid w:val="00C076F1"/>
    <w:rsid w:val="00C07B3E"/>
    <w:rsid w:val="00C102BA"/>
    <w:rsid w:val="00C11900"/>
    <w:rsid w:val="00C220D1"/>
    <w:rsid w:val="00C23301"/>
    <w:rsid w:val="00C4385C"/>
    <w:rsid w:val="00C459AB"/>
    <w:rsid w:val="00C47DF9"/>
    <w:rsid w:val="00C52E4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473D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11B9"/>
    <w:rsid w:val="00E95C82"/>
    <w:rsid w:val="00EA5880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09502386.2016.118075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publication/33052139_Organizational_communication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5817/CP2018-3-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2012books.lardbucket.org/books/an-introduction-to-organizational-communication/s01-about-the-author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d.com/talks/sherry_turkle_alone_together?language=en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NULL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NULL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NULL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NUL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NUL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2070</Words>
  <Characters>11802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Bogdan Nadolu</cp:lastModifiedBy>
  <cp:revision>8</cp:revision>
  <cp:lastPrinted>2017-11-08T12:05:00Z</cp:lastPrinted>
  <dcterms:created xsi:type="dcterms:W3CDTF">2021-09-15T10:33:00Z</dcterms:created>
  <dcterms:modified xsi:type="dcterms:W3CDTF">2023-09-13T20:22:00Z</dcterms:modified>
</cp:coreProperties>
</file>