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0"/>
        <w:gridCol w:w="5921"/>
      </w:tblGrid>
      <w:tr w:rsidR="00E0255D" w:rsidRPr="00C4385C" w:rsidTr="00080D22">
        <w:tc>
          <w:tcPr>
            <w:tcW w:w="1907" w:type="pct"/>
            <w:vAlign w:val="center"/>
          </w:tcPr>
          <w:p w:rsidR="00E0255D" w:rsidRPr="00C4385C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6A4E18" w:rsidRPr="00C4385C" w:rsidTr="00080D22">
        <w:tc>
          <w:tcPr>
            <w:tcW w:w="1907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D7775">
              <w:rPr>
                <w:rFonts w:ascii="Times New Roman" w:hAnsi="Times New Roman"/>
                <w:lang w:val="ro-RO"/>
              </w:rPr>
              <w:t>Facultatea de Sociologie și Psihologie</w:t>
            </w:r>
          </w:p>
        </w:tc>
      </w:tr>
      <w:tr w:rsidR="006A4E18" w:rsidRPr="00C4385C" w:rsidTr="00080D22">
        <w:tc>
          <w:tcPr>
            <w:tcW w:w="1907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D7775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6A4E18" w:rsidRPr="00C4385C" w:rsidTr="00080D22">
        <w:tc>
          <w:tcPr>
            <w:tcW w:w="1907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D7775">
              <w:rPr>
                <w:rFonts w:ascii="Times New Roman" w:hAnsi="Times New Roman"/>
                <w:lang w:val="ro-RO"/>
              </w:rPr>
              <w:t>Psihologie</w:t>
            </w:r>
          </w:p>
        </w:tc>
      </w:tr>
      <w:tr w:rsidR="006A4E18" w:rsidRPr="00C4385C" w:rsidTr="00080D22">
        <w:tc>
          <w:tcPr>
            <w:tcW w:w="1907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MASTER </w:t>
            </w:r>
          </w:p>
        </w:tc>
      </w:tr>
      <w:tr w:rsidR="006A4E18" w:rsidRPr="00C4385C" w:rsidTr="00080D22">
        <w:tc>
          <w:tcPr>
            <w:tcW w:w="1907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D7775">
              <w:rPr>
                <w:rFonts w:ascii="Times New Roman" w:hAnsi="Times New Roman"/>
                <w:lang w:val="ro-RO"/>
              </w:rPr>
              <w:t>Psihologie</w:t>
            </w:r>
            <w:r>
              <w:rPr>
                <w:rFonts w:ascii="Times New Roman" w:hAnsi="Times New Roman"/>
                <w:lang w:val="ro-RO"/>
              </w:rPr>
              <w:t xml:space="preserve"> clinică şi psihoterapie</w:t>
            </w:r>
          </w:p>
        </w:tc>
      </w:tr>
    </w:tbl>
    <w:p w:rsidR="00E0255D" w:rsidRPr="00C4385C" w:rsidRDefault="00E0255D" w:rsidP="00E0255D">
      <w:pPr>
        <w:rPr>
          <w:rFonts w:asciiTheme="minorHAnsi" w:hAnsiTheme="minorHAnsi" w:cstheme="minorHAnsi"/>
        </w:rPr>
      </w:pPr>
    </w:p>
    <w:p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6A4E18" w:rsidRPr="00C4385C" w:rsidTr="00E0255D">
        <w:tc>
          <w:tcPr>
            <w:tcW w:w="3828" w:type="dxa"/>
            <w:gridSpan w:val="3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:rsidR="006A4E18" w:rsidRPr="00C4385C" w:rsidRDefault="00AA12BD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="Times New Roman" w:hAnsi="Times New Roman"/>
                <w:b/>
                <w:caps/>
                <w:lang w:val="ro-RO"/>
              </w:rPr>
              <w:t>TEHNICI TERAPEUTICE ÎN TERAPIa</w:t>
            </w:r>
            <w:bookmarkStart w:id="0" w:name="_GoBack"/>
            <w:bookmarkEnd w:id="0"/>
            <w:r w:rsidR="006A4E18">
              <w:rPr>
                <w:rFonts w:ascii="Times New Roman" w:hAnsi="Times New Roman"/>
                <w:b/>
                <w:caps/>
                <w:lang w:val="ro-RO"/>
              </w:rPr>
              <w:t xml:space="preserve"> DE FAMILIE</w:t>
            </w:r>
          </w:p>
        </w:tc>
      </w:tr>
      <w:tr w:rsidR="006A4E18" w:rsidRPr="00C4385C" w:rsidTr="00E0255D">
        <w:tc>
          <w:tcPr>
            <w:tcW w:w="3828" w:type="dxa"/>
            <w:gridSpan w:val="3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Pr="003B58D6">
              <w:rPr>
                <w:rFonts w:ascii="Times New Roman" w:hAnsi="Times New Roman"/>
                <w:lang w:val="ro-RO"/>
              </w:rPr>
              <w:t xml:space="preserve">. univ. dr. </w:t>
            </w:r>
            <w:r>
              <w:rPr>
                <w:rFonts w:ascii="Times New Roman" w:hAnsi="Times New Roman"/>
                <w:lang w:val="ro-RO"/>
              </w:rPr>
              <w:t>Alina ZAMOSTEANU</w:t>
            </w:r>
          </w:p>
        </w:tc>
      </w:tr>
      <w:tr w:rsidR="006A4E18" w:rsidRPr="00C4385C" w:rsidTr="00E0255D">
        <w:tc>
          <w:tcPr>
            <w:tcW w:w="3828" w:type="dxa"/>
            <w:gridSpan w:val="3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Conf</w:t>
            </w:r>
            <w:r w:rsidRPr="003B58D6">
              <w:rPr>
                <w:rFonts w:ascii="Times New Roman" w:hAnsi="Times New Roman"/>
                <w:lang w:val="ro-RO"/>
              </w:rPr>
              <w:t xml:space="preserve">. univ. dr. </w:t>
            </w:r>
            <w:r>
              <w:rPr>
                <w:rFonts w:ascii="Times New Roman" w:hAnsi="Times New Roman"/>
                <w:lang w:val="ro-RO"/>
              </w:rPr>
              <w:t>Alina ZAMOSTEANU</w:t>
            </w:r>
          </w:p>
        </w:tc>
      </w:tr>
      <w:tr w:rsidR="006A4E18" w:rsidRPr="00C4385C" w:rsidTr="00C4385C">
        <w:tc>
          <w:tcPr>
            <w:tcW w:w="1843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6A4E18" w:rsidRPr="00C4385C" w:rsidRDefault="006A4E18" w:rsidP="006A4E18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:rsidR="006A4E18" w:rsidRPr="00C4385C" w:rsidRDefault="006A4E18" w:rsidP="006A4E18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1839" w:type="dxa"/>
          </w:tcPr>
          <w:p w:rsidR="006A4E18" w:rsidRPr="00C4385C" w:rsidRDefault="006A4E18" w:rsidP="006A4E18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DOP</w:t>
            </w:r>
          </w:p>
        </w:tc>
      </w:tr>
    </w:tbl>
    <w:p w:rsidR="00E0255D" w:rsidRPr="00C4385C" w:rsidRDefault="00E0255D" w:rsidP="00E0255D">
      <w:pPr>
        <w:rPr>
          <w:rFonts w:asciiTheme="minorHAnsi" w:hAnsiTheme="minorHAnsi" w:cstheme="minorHAnsi"/>
        </w:rPr>
      </w:pPr>
    </w:p>
    <w:p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295"/>
        <w:gridCol w:w="1681"/>
        <w:gridCol w:w="440"/>
        <w:gridCol w:w="2312"/>
        <w:gridCol w:w="524"/>
      </w:tblGrid>
      <w:tr w:rsidR="00E0255D" w:rsidRPr="00C4385C" w:rsidTr="00802D13">
        <w:tc>
          <w:tcPr>
            <w:tcW w:w="3681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2315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</w:t>
            </w:r>
          </w:p>
        </w:tc>
      </w:tr>
      <w:tr w:rsidR="00E0255D" w:rsidRPr="00C4385C" w:rsidTr="00802D13">
        <w:tc>
          <w:tcPr>
            <w:tcW w:w="3681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2315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:rsidR="00E0255D" w:rsidRPr="00C4385C" w:rsidRDefault="006A4E18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14</w:t>
            </w:r>
          </w:p>
        </w:tc>
      </w:tr>
      <w:tr w:rsidR="00E0255D" w:rsidRPr="00C4385C" w:rsidTr="00802D13">
        <w:tc>
          <w:tcPr>
            <w:tcW w:w="8831" w:type="dxa"/>
            <w:gridSpan w:val="6"/>
          </w:tcPr>
          <w:p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:rsidR="00E0255D" w:rsidRPr="00802D13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:rsidR="006A4E18" w:rsidRPr="00C4385C" w:rsidRDefault="009F763C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6E3207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:rsidR="006A4E18" w:rsidRPr="00C4385C" w:rsidRDefault="006E3207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:rsidR="006A4E18" w:rsidRPr="00C4385C" w:rsidRDefault="002F53B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6A4E18" w:rsidRPr="00C4385C" w:rsidTr="00802D13">
        <w:tc>
          <w:tcPr>
            <w:tcW w:w="8831" w:type="dxa"/>
            <w:gridSpan w:val="6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6A4E18" w:rsidRPr="006A4E18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:rsidR="006A4E18" w:rsidRPr="002F53B8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2F53B8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6A4E18" w:rsidRPr="002F53B8" w:rsidRDefault="002F53B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 w:rsidRPr="002F53B8">
              <w:rPr>
                <w:rFonts w:asciiTheme="minorHAnsi" w:hAnsiTheme="minorHAnsi" w:cstheme="minorHAnsi"/>
                <w:b/>
                <w:lang w:val="ro-RO"/>
              </w:rPr>
              <w:t>108</w:t>
            </w:r>
          </w:p>
        </w:tc>
      </w:tr>
      <w:tr w:rsidR="006A4E18" w:rsidRPr="00C4385C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:rsidR="006A4E18" w:rsidRPr="00802D13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150</w:t>
            </w:r>
          </w:p>
        </w:tc>
      </w:tr>
      <w:tr w:rsidR="006A4E18" w:rsidRPr="00C4385C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:rsidR="006A4E18" w:rsidRPr="00802D13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:rsidR="006A4E18" w:rsidRPr="00C4385C" w:rsidRDefault="006A4E18" w:rsidP="006A4E18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</w:t>
            </w:r>
          </w:p>
        </w:tc>
      </w:tr>
    </w:tbl>
    <w:p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:rsidTr="00E0255D">
        <w:tc>
          <w:tcPr>
            <w:tcW w:w="1985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:rsidR="00E0255D" w:rsidRPr="00C4385C" w:rsidRDefault="006A4E18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:rsidTr="00E0255D">
        <w:tc>
          <w:tcPr>
            <w:tcW w:w="1985" w:type="dxa"/>
          </w:tcPr>
          <w:p w:rsidR="00E0255D" w:rsidRPr="00C4385C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:rsidR="00E0255D" w:rsidRPr="00C4385C" w:rsidRDefault="006A4E18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:rsidR="00C4385C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:rsidR="00E0255D" w:rsidRPr="00C4385C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:rsidTr="00802D13">
        <w:tc>
          <w:tcPr>
            <w:tcW w:w="4565" w:type="dxa"/>
          </w:tcPr>
          <w:p w:rsidR="00E0255D" w:rsidRPr="00C4385C" w:rsidRDefault="00E0255D" w:rsidP="00080D2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802D13">
              <w:rPr>
                <w:rFonts w:asciiTheme="minorHAnsi" w:hAnsiTheme="minorHAnsi" w:cstheme="minorHAnsi"/>
                <w:lang w:val="ro-RO"/>
              </w:rPr>
              <w:t>cursului</w:t>
            </w:r>
          </w:p>
        </w:tc>
        <w:tc>
          <w:tcPr>
            <w:tcW w:w="4824" w:type="dxa"/>
          </w:tcPr>
          <w:p w:rsidR="00E0255D" w:rsidRPr="00C4385C" w:rsidRDefault="006A4E18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802D13" w:rsidRPr="00C4385C" w:rsidTr="00802D13">
        <w:tc>
          <w:tcPr>
            <w:tcW w:w="4565" w:type="dxa"/>
          </w:tcPr>
          <w:p w:rsidR="00802D13" w:rsidRPr="00C4385C" w:rsidRDefault="00802D13" w:rsidP="00802D13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</w:t>
            </w:r>
            <w:r>
              <w:rPr>
                <w:rFonts w:asciiTheme="minorHAnsi" w:hAnsiTheme="minorHAnsi" w:cstheme="minorHAnsi"/>
                <w:lang w:val="ro-RO"/>
              </w:rPr>
              <w:t>2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de desfă</w:t>
            </w:r>
            <w:r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>
              <w:rPr>
                <w:rFonts w:asciiTheme="minorHAnsi" w:hAnsiTheme="minorHAnsi" w:cstheme="minorHAnsi"/>
                <w:lang w:val="ro-RO"/>
              </w:rPr>
              <w:t>seminarului / laboratorului</w:t>
            </w:r>
          </w:p>
        </w:tc>
        <w:tc>
          <w:tcPr>
            <w:tcW w:w="4824" w:type="dxa"/>
          </w:tcPr>
          <w:p w:rsidR="00802D13" w:rsidRPr="00C4385C" w:rsidRDefault="006A4E18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:rsidR="00E0255D" w:rsidRPr="00C4385C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lastRenderedPageBreak/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E0255D" w:rsidRPr="00C4385C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:rsidR="006A4E18" w:rsidRPr="006A4E18" w:rsidRDefault="006A4E18" w:rsidP="006A4E18">
            <w:pPr>
              <w:autoSpaceDE w:val="0"/>
              <w:autoSpaceDN w:val="0"/>
              <w:adjustRightInd w:val="0"/>
              <w:spacing w:after="85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85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Folosirea corectă, adecvată, a metodelor și instrumentelor din domeniile psihologiei clinice și a psihoterapiei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85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Elaborarea strategiilor de intervenție psihoterapeutică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85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Proiectarea și implentarea planurilor de intervenție psihoterapeutică </w:t>
            </w:r>
          </w:p>
          <w:p w:rsidR="00E0255D" w:rsidRPr="006A4E18" w:rsidRDefault="006A4E18" w:rsidP="006A4E18">
            <w:pPr>
              <w:pStyle w:val="Default"/>
              <w:numPr>
                <w:ilvl w:val="0"/>
                <w:numId w:val="28"/>
              </w:num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E627C">
              <w:rPr>
                <w:rFonts w:eastAsia="Calibri"/>
                <w:sz w:val="23"/>
                <w:szCs w:val="23"/>
              </w:rPr>
              <w:t xml:space="preserve">Realizarea sub supervizare a unor evaluări și intervenții în domeniul psihologiei clinice și al consilierii psihologice </w:t>
            </w:r>
          </w:p>
          <w:p w:rsidR="006A4E18" w:rsidRPr="006A4E18" w:rsidRDefault="006A4E18" w:rsidP="006A4E18">
            <w:pPr>
              <w:pStyle w:val="Default"/>
              <w:spacing w:line="276" w:lineRule="auto"/>
              <w:ind w:left="720"/>
              <w:rPr>
                <w:rFonts w:ascii="Times New Roman" w:eastAsia="Calibri" w:hAnsi="Times New Roman" w:cs="Times New Roman"/>
              </w:rPr>
            </w:pPr>
          </w:p>
        </w:tc>
      </w:tr>
      <w:tr w:rsidR="00E0255D" w:rsidRPr="00C4385C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:rsidR="00E0255D" w:rsidRPr="00C4385C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:rsidR="006A4E18" w:rsidRDefault="006A4E18" w:rsidP="006A4E18">
            <w:pPr>
              <w:pStyle w:val="ListParagraph"/>
              <w:autoSpaceDE w:val="0"/>
              <w:autoSpaceDN w:val="0"/>
              <w:adjustRightInd w:val="0"/>
              <w:spacing w:after="87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87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Utilizarea adecvată în comunicarea profesională a conceptelor specifice psihoterapiei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Utilizarea adecvată în comunicarea profesională a conceptelor, metodelor şi instrumentelor specifice evaluării psihologice (individuale şi de grup)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81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Aplicarea principiilor comunicării eficiente în intervenţia psihologică cu scopul stabilirii unui contact eficient şi adecvat particularităţilor beneficiarului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Construirea unei relaţii de comunicare adaptată caracteristicilor psihologice şi nevoilor beneficiarului </w:t>
            </w:r>
          </w:p>
          <w:p w:rsidR="00E0255D" w:rsidRPr="00C4385C" w:rsidRDefault="00E0255D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4D71" w:rsidRPr="00C4385C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:rsidR="00C94D71" w:rsidRDefault="00C94D71" w:rsidP="00C94D71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:rsidR="006A4E18" w:rsidRDefault="006A4E18" w:rsidP="006A4E18">
            <w:pPr>
              <w:pStyle w:val="ListParagraph"/>
              <w:autoSpaceDE w:val="0"/>
              <w:autoSpaceDN w:val="0"/>
              <w:adjustRightInd w:val="0"/>
              <w:spacing w:after="183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83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Analiză și gândire critică responsabilă în situațiile specifice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83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Interpretarea situaţiilor concrete de asistenţă psihologică </w:t>
            </w:r>
          </w:p>
          <w:p w:rsidR="006A4E18" w:rsidRPr="007E627C" w:rsidRDefault="006A4E18" w:rsidP="006A4E18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83" w:line="276" w:lineRule="auto"/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</w:pPr>
            <w:r w:rsidRPr="007E627C">
              <w:rPr>
                <w:rFonts w:eastAsia="Calibri"/>
                <w:color w:val="000000"/>
                <w:sz w:val="23"/>
                <w:szCs w:val="23"/>
                <w:lang w:val="en-US" w:eastAsia="en-US"/>
              </w:rPr>
              <w:t xml:space="preserve">Etică profesională, respectarea autonomiei clienților </w:t>
            </w:r>
          </w:p>
          <w:p w:rsidR="00C94D71" w:rsidRPr="00C4385C" w:rsidRDefault="00C94D71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:rsidR="00E0255D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.1 Curs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Metode de predare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2644F8">
              <w:rPr>
                <w:rFonts w:asciiTheme="minorHAnsi" w:hAnsiTheme="minorHAnsi" w:cstheme="minorHAnsi"/>
                <w:sz w:val="22"/>
                <w:szCs w:val="22"/>
              </w:rPr>
              <w:t>Observații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C1. Ipotetizare, circularitate, liniaritate în construirea interviului terapeutic</w:t>
            </w: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C2. Prima şedinţă în terapia familială: stadiul primirii, stadiul expunerii problemelor, stadiul interacţiunilor, stadiul obiectivelor, finalul întrevederii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 xml:space="preserve">C3. Tehnici de intervenţie în orientarea strategică: </w:t>
            </w:r>
            <w:r w:rsidRPr="006A4E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instrucţiuni directe, instrucţiuni paradoxale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C4. Tehnici de intervenţie în orientarea structurală: diagnoza structurală prin identificarea structurii familiei, flexibilităţii sistemului familial, rezonanţei, cadrului de viaţă, stadiului de dezvoltare, funcţiei simptomului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C5. Tehnici de intervenţie în orientarea structurală: rejucarea pattern-urilor tranzacţionale, delimitarea frontierelor, depăşirea stresului, atribuirea sarcinilor terapeutice, utilizarea simptomelor, manipularea ambianţei afective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C6. Tehnici de intervenție de factură experiențială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C7. Tehnici de interventie in terapia boweniana: diferentiere de sine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C8. Tehnici de intervenție în terapia narativă: rescrierea narațiunii clientului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C9. Tehnici de lecturare a familiei: genograma etica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C10. Tehnici de lecturare a familiei: genograma imaginară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 xml:space="preserve">C11. Tehnici speicifice terapiei contextuale 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 xml:space="preserve">C12. Ghidul de evaluarea familială 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exemple, studiu de caz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2644F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</w:p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C13. Modalităţi de intervenţie terapeutică în situaţii de violenţă familială: ariile de intervenţie terapeutică, etapele, protocolul de intervenţie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2644F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Tr="006A4E18"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C14. Diferențe in intrevenția specifică terapiei individuale, de cuplu si familiale in TSF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Expunere, dialog, exemple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E18" w:rsidRPr="006A4E18" w:rsidRDefault="006A4E18" w:rsidP="003806EB">
            <w:pPr>
              <w:rPr>
                <w:rFonts w:asciiTheme="minorHAnsi" w:hAnsiTheme="minorHAnsi" w:cstheme="minorHAnsi"/>
              </w:rPr>
            </w:pPr>
            <w:r w:rsidRPr="006A4E18">
              <w:rPr>
                <w:rFonts w:asciiTheme="minorHAnsi" w:hAnsiTheme="minorHAnsi" w:cstheme="minorHAnsi"/>
                <w:sz w:val="22"/>
                <w:szCs w:val="22"/>
              </w:rPr>
              <w:t>2 ore</w:t>
            </w:r>
          </w:p>
        </w:tc>
      </w:tr>
      <w:tr w:rsidR="006A4E18" w:rsidRPr="0060670A" w:rsidTr="003806EB">
        <w:tc>
          <w:tcPr>
            <w:tcW w:w="9385" w:type="dxa"/>
            <w:gridSpan w:val="3"/>
            <w:shd w:val="clear" w:color="auto" w:fill="auto"/>
          </w:tcPr>
          <w:p w:rsidR="006A4E1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:rsidR="006A4E18" w:rsidRDefault="006A4E18" w:rsidP="003806EB">
            <w:pPr>
              <w:numPr>
                <w:ilvl w:val="0"/>
                <w:numId w:val="33"/>
              </w:numPr>
              <w:jc w:val="both"/>
            </w:pPr>
            <w:r>
              <w:t xml:space="preserve">Bowlby, J. (2016). </w:t>
            </w:r>
            <w:r w:rsidRPr="00D165A0">
              <w:rPr>
                <w:i/>
                <w:iCs/>
              </w:rPr>
              <w:t xml:space="preserve">Crearea </w:t>
            </w:r>
            <w:r>
              <w:rPr>
                <w:i/>
                <w:iCs/>
              </w:rPr>
              <w:t>ș</w:t>
            </w:r>
            <w:r w:rsidRPr="00D165A0">
              <w:rPr>
                <w:i/>
                <w:iCs/>
              </w:rPr>
              <w:t>i ruperea legăturilor afective</w:t>
            </w:r>
            <w:r>
              <w:t xml:space="preserve">. </w:t>
            </w:r>
            <w:r w:rsidRPr="00D165A0">
              <w:t>București: Editura Trei.</w:t>
            </w:r>
          </w:p>
          <w:p w:rsidR="006A4E18" w:rsidRPr="00D165A0" w:rsidRDefault="006A4E18" w:rsidP="003806EB">
            <w:pPr>
              <w:numPr>
                <w:ilvl w:val="0"/>
                <w:numId w:val="33"/>
              </w:numPr>
              <w:jc w:val="both"/>
            </w:pPr>
            <w:r>
              <w:t xml:space="preserve">Goldrick, M (2008), </w:t>
            </w:r>
            <w:r w:rsidRPr="00E11851">
              <w:rPr>
                <w:i/>
                <w:iCs/>
              </w:rPr>
              <w:t>Genograms. Assessment and Intervention</w:t>
            </w:r>
            <w:r>
              <w:t xml:space="preserve">, London, </w:t>
            </w:r>
            <w:r>
              <w:lastRenderedPageBreak/>
              <w:t>W.W.Norton&amp;Company</w:t>
            </w:r>
          </w:p>
          <w:p w:rsidR="006A4E18" w:rsidRPr="0060670A" w:rsidRDefault="006A4E18" w:rsidP="003806EB">
            <w:pPr>
              <w:numPr>
                <w:ilvl w:val="0"/>
                <w:numId w:val="33"/>
              </w:numPr>
              <w:jc w:val="both"/>
            </w:pPr>
            <w:r w:rsidRPr="0060670A">
              <w:t xml:space="preserve">Johnson, S. (2017). </w:t>
            </w:r>
            <w:r w:rsidRPr="0060670A">
              <w:rPr>
                <w:i/>
                <w:iCs/>
              </w:rPr>
              <w:t>Ține-mă strâns în brațe</w:t>
            </w:r>
            <w:r w:rsidRPr="0060670A">
              <w:t>. București: Editura Act și Politon.</w:t>
            </w:r>
          </w:p>
          <w:p w:rsidR="006A4E18" w:rsidRPr="0060670A" w:rsidRDefault="006A4E18" w:rsidP="003806EB">
            <w:pPr>
              <w:numPr>
                <w:ilvl w:val="0"/>
                <w:numId w:val="33"/>
              </w:numPr>
              <w:jc w:val="both"/>
            </w:pPr>
            <w:r w:rsidRPr="0060670A">
              <w:t xml:space="preserve">Konya, Z. &amp; Konya, A. (2012). </w:t>
            </w:r>
            <w:r w:rsidRPr="0060670A">
              <w:rPr>
                <w:i/>
                <w:iCs/>
              </w:rPr>
              <w:t>Terapie familială sistemică</w:t>
            </w:r>
            <w:r w:rsidRPr="0060670A">
              <w:t>. Iași: Polirom.</w:t>
            </w:r>
          </w:p>
          <w:p w:rsidR="006A4E18" w:rsidRPr="0060670A" w:rsidRDefault="006A4E18" w:rsidP="003806EB">
            <w:pPr>
              <w:numPr>
                <w:ilvl w:val="0"/>
                <w:numId w:val="33"/>
              </w:numPr>
              <w:jc w:val="both"/>
            </w:pPr>
            <w:r w:rsidRPr="0060670A">
              <w:t xml:space="preserve">Madanes, C., (2011), </w:t>
            </w:r>
            <w:r w:rsidRPr="0060670A">
              <w:rPr>
                <w:i/>
                <w:iCs/>
              </w:rPr>
              <w:t>Terapia strategică de familie</w:t>
            </w:r>
            <w:r w:rsidRPr="0060670A">
              <w:t>, Editura Institutul pentru Cuplu și Familie, Iași</w:t>
            </w:r>
          </w:p>
          <w:p w:rsidR="006A4E18" w:rsidRPr="0060670A" w:rsidRDefault="006A4E18" w:rsidP="003806EB">
            <w:pPr>
              <w:numPr>
                <w:ilvl w:val="0"/>
                <w:numId w:val="33"/>
              </w:numPr>
              <w:jc w:val="both"/>
            </w:pPr>
            <w:r w:rsidRPr="0060670A">
              <w:t xml:space="preserve">Minuchin, S., Nichols, M.P., Yung Lee, W. (2015), </w:t>
            </w:r>
            <w:r w:rsidRPr="0060670A">
              <w:rPr>
                <w:i/>
                <w:iCs/>
              </w:rPr>
              <w:t>Evaluarea familiei și cuplului. De la simptom la sistem,</w:t>
            </w:r>
            <w:r w:rsidRPr="0060670A">
              <w:t xml:space="preserve"> Editura Alianța pentru copil și familie, București</w:t>
            </w:r>
          </w:p>
          <w:p w:rsidR="006A4E18" w:rsidRDefault="006A4E18" w:rsidP="003806EB">
            <w:pPr>
              <w:numPr>
                <w:ilvl w:val="0"/>
                <w:numId w:val="33"/>
              </w:numPr>
              <w:jc w:val="both"/>
            </w:pPr>
            <w:r w:rsidRPr="0060670A">
              <w:t xml:space="preserve">Nichols, M.P., Schwartz, R.C., </w:t>
            </w:r>
            <w:r w:rsidRPr="0060670A">
              <w:rPr>
                <w:i/>
                <w:iCs/>
              </w:rPr>
              <w:t>Terapia de familie. Concepte si metode</w:t>
            </w:r>
            <w:r w:rsidRPr="0060670A">
              <w:t xml:space="preserve"> (2005), Bucuresti, Asociatia de Terapie familiala</w:t>
            </w:r>
          </w:p>
          <w:p w:rsidR="006A4E18" w:rsidRDefault="006A4E18" w:rsidP="003806EB">
            <w:pPr>
              <w:jc w:val="both"/>
            </w:pPr>
          </w:p>
          <w:p w:rsidR="006A4E18" w:rsidRDefault="006A4E18" w:rsidP="003806EB">
            <w:pPr>
              <w:jc w:val="both"/>
            </w:pPr>
          </w:p>
          <w:p w:rsidR="00027C52" w:rsidRDefault="006A4E18" w:rsidP="003806EB">
            <w:pPr>
              <w:jc w:val="both"/>
            </w:pPr>
            <w:r w:rsidRPr="00D0102B">
              <w:t xml:space="preserve">Suporturile pentru curs și seminar vor fi încărcate pe Classroom. Studenții trebuie să se înregistreze pe Google Classroom, utilizând codul pentru curs din </w:t>
            </w:r>
            <w:r>
              <w:t>C</w:t>
            </w:r>
            <w:r w:rsidRPr="00D0102B">
              <w:t xml:space="preserve">lassroom, cu adresa de email instituțională. Codul pentru cursul și seminarul disciplinei </w:t>
            </w:r>
            <w:r w:rsidRPr="00D0102B">
              <w:rPr>
                <w:b/>
                <w:caps/>
              </w:rPr>
              <w:t>TEHNICI TERAPEUTICE ÎN TERAPIILE DE FAMILIE</w:t>
            </w:r>
            <w:r w:rsidRPr="00D0102B">
              <w:t xml:space="preserve"> 202</w:t>
            </w:r>
            <w:r w:rsidR="00027C52">
              <w:t>3</w:t>
            </w:r>
            <w:r w:rsidRPr="00D0102B">
              <w:t>-202</w:t>
            </w:r>
            <w:r w:rsidR="00027C52">
              <w:t>4</w:t>
            </w:r>
            <w:r w:rsidRPr="00D0102B">
              <w:t xml:space="preserve"> este:</w:t>
            </w:r>
          </w:p>
          <w:p w:rsidR="006A4E18" w:rsidRPr="00D0102B" w:rsidRDefault="006A4E18" w:rsidP="003806EB">
            <w:pPr>
              <w:jc w:val="both"/>
            </w:pPr>
            <w:r>
              <w:t xml:space="preserve"> </w:t>
            </w:r>
            <w:r w:rsidR="00027C52" w:rsidRPr="00027C52">
              <w:t>https://classroom.google.com/c/NjIxOTc3Nzg1NDUz?cjc=cfu2q6f</w:t>
            </w:r>
          </w:p>
          <w:p w:rsidR="006A4E18" w:rsidRPr="00D0102B" w:rsidRDefault="006A4E18" w:rsidP="003806EB">
            <w:pPr>
              <w:jc w:val="both"/>
            </w:pPr>
          </w:p>
          <w:p w:rsidR="006A4E18" w:rsidRDefault="006A4E18" w:rsidP="003806EB">
            <w:pPr>
              <w:jc w:val="both"/>
            </w:pPr>
            <w:r w:rsidRPr="00D0102B">
              <w:t>Pe Google Classroom, la codul indicat, va avea loc comunicarea permanentă cu studenții, atribuirea sarcinilor de seminar, feedbackul în urma evaluării diferitelor sarcini, realizarea de statistici privind prezența la activitate etc.</w:t>
            </w:r>
          </w:p>
          <w:p w:rsidR="006A4E18" w:rsidRDefault="006A4E18" w:rsidP="003806EB">
            <w:pPr>
              <w:jc w:val="both"/>
              <w:rPr>
                <w:w w:val="105"/>
              </w:rPr>
            </w:pPr>
            <w:r w:rsidRPr="00641CE3">
              <w:rPr>
                <w:rFonts w:ascii="Calibri" w:hAnsi="Calibri" w:cs="Calibri"/>
                <w:b/>
              </w:rPr>
              <w:t xml:space="preserve">Cursul si seminarul </w:t>
            </w:r>
            <w:r w:rsidR="00D974A7">
              <w:rPr>
                <w:rFonts w:ascii="Calibri" w:hAnsi="Calibri" w:cs="Calibri"/>
                <w:b/>
              </w:rPr>
              <w:t xml:space="preserve"> se vor derula </w:t>
            </w:r>
            <w:r w:rsidRPr="00641CE3">
              <w:rPr>
                <w:rFonts w:ascii="Calibri" w:hAnsi="Calibri" w:cs="Calibri"/>
                <w:b/>
              </w:rPr>
              <w:t>online</w:t>
            </w:r>
            <w:r w:rsidR="00D974A7">
              <w:rPr>
                <w:rFonts w:ascii="Calibri" w:hAnsi="Calibri" w:cs="Calibri"/>
                <w:b/>
              </w:rPr>
              <w:t xml:space="preserve"> si</w:t>
            </w:r>
            <w:r w:rsidRPr="00641CE3">
              <w:rPr>
                <w:rFonts w:ascii="Calibri" w:hAnsi="Calibri" w:cs="Calibri"/>
                <w:b/>
              </w:rPr>
              <w:t xml:space="preserve"> se va folos</w:t>
            </w:r>
            <w:r w:rsidR="00D974A7">
              <w:rPr>
                <w:rFonts w:ascii="Calibri" w:hAnsi="Calibri" w:cs="Calibri"/>
                <w:b/>
              </w:rPr>
              <w:t>i urmatoarea</w:t>
            </w:r>
            <w:r w:rsidRPr="00641CE3">
              <w:rPr>
                <w:rFonts w:ascii="Calibri" w:hAnsi="Calibri" w:cs="Calibri"/>
                <w:b/>
              </w:rPr>
              <w:t xml:space="preserve"> </w:t>
            </w:r>
            <w:r w:rsidRPr="00D974A7">
              <w:rPr>
                <w:rFonts w:asciiTheme="minorHAnsi" w:hAnsiTheme="minorHAnsi" w:cstheme="minorHAnsi"/>
                <w:b/>
                <w:bCs/>
              </w:rPr>
              <w:t xml:space="preserve">adresă </w:t>
            </w:r>
            <w:r w:rsidRPr="00D974A7">
              <w:rPr>
                <w:b/>
                <w:bCs/>
                <w:w w:val="105"/>
              </w:rPr>
              <w:t>Google Meet</w:t>
            </w:r>
            <w:r w:rsidRPr="00641CE3">
              <w:rPr>
                <w:w w:val="105"/>
              </w:rPr>
              <w:t xml:space="preserve"> -</w:t>
            </w:r>
            <w:r>
              <w:rPr>
                <w:w w:val="105"/>
              </w:rPr>
              <w:t xml:space="preserve"> </w:t>
            </w:r>
          </w:p>
          <w:p w:rsidR="006A4E18" w:rsidRDefault="006A4E18" w:rsidP="003806EB">
            <w:pPr>
              <w:jc w:val="both"/>
            </w:pPr>
          </w:p>
          <w:p w:rsidR="00027C52" w:rsidRDefault="00027C52" w:rsidP="00027C52">
            <w:pPr>
              <w:jc w:val="both"/>
            </w:pPr>
            <w:r>
              <w:t>https://meet.google.com/rcm-ypvm-vjx</w:t>
            </w:r>
          </w:p>
          <w:p w:rsidR="006A4E18" w:rsidRPr="0060670A" w:rsidRDefault="006A4E18" w:rsidP="00027C52">
            <w:pPr>
              <w:jc w:val="both"/>
            </w:pPr>
          </w:p>
        </w:tc>
      </w:tr>
      <w:tr w:rsidR="006A4E18" w:rsidRPr="002644F8" w:rsidTr="003806EB">
        <w:tc>
          <w:tcPr>
            <w:tcW w:w="3128" w:type="dxa"/>
            <w:shd w:val="clear" w:color="auto" w:fill="auto"/>
          </w:tcPr>
          <w:p w:rsidR="006A4E18" w:rsidRPr="002644F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lastRenderedPageBreak/>
              <w:t>7</w:t>
            </w:r>
            <w:r w:rsidRPr="002644F8">
              <w:rPr>
                <w:rFonts w:asciiTheme="minorHAnsi" w:hAnsiTheme="minorHAnsi" w:cstheme="minorHAnsi"/>
              </w:rPr>
              <w:t xml:space="preserve">.2 Seminar / </w:t>
            </w:r>
            <w:r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  <w:shd w:val="clear" w:color="auto" w:fill="auto"/>
          </w:tcPr>
          <w:p w:rsidR="006A4E18" w:rsidRPr="002644F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:rsidR="006A4E18" w:rsidRPr="002644F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Fişa telefonică - prim element în relaţionarea cu familia: informaţii asupra cărora se axează fişa telefonică, modalitatea de obţinere a informaţiilor, utilitate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Expunere, exemplificare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Harta familială şi regulile familiale: trasarea hărţii familiale, identificarea triunghiurilor, identificarea regulilor privind afectivitatea, sexualitatea, secrete familiale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Expunere, exemplificare, studiu de caz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Default="006A4E18" w:rsidP="003806EB"/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„Sculptura familială” - tehnică de evaluare şi de tratament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Studiu de caz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Default="006A4E18" w:rsidP="003806EB"/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„Poziţiile de cuplu” şi „poziţiile familiale”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Studiu de caz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Default="006A4E18" w:rsidP="003806EB">
            <w:r>
              <w:t xml:space="preserve">Obiectele tranziționale în </w:t>
            </w:r>
            <w:r>
              <w:lastRenderedPageBreak/>
              <w:t>terapiile de familie</w:t>
            </w:r>
          </w:p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>Studiu de caz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Default="006A4E18" w:rsidP="003806EB">
            <w:r w:rsidRPr="00222AB8">
              <w:t>„Jocul gâştei” ca tehnică de intervenţie terapeutică: obiective, protocolul de intervenţie</w:t>
            </w:r>
          </w:p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Studiu de caz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CC2CE9" w:rsidTr="003806EB">
        <w:tc>
          <w:tcPr>
            <w:tcW w:w="3128" w:type="dxa"/>
            <w:shd w:val="clear" w:color="auto" w:fill="auto"/>
          </w:tcPr>
          <w:p w:rsidR="006A4E18" w:rsidRDefault="006A4E18" w:rsidP="003806EB"/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Modalităţi de autocunoaştere în formarea terapeutică specifice terapiei familiale - aplicaţii practice</w:t>
            </w:r>
          </w:p>
        </w:tc>
        <w:tc>
          <w:tcPr>
            <w:tcW w:w="3128" w:type="dxa"/>
            <w:shd w:val="clear" w:color="auto" w:fill="auto"/>
            <w:vAlign w:val="center"/>
          </w:tcPr>
          <w:p w:rsidR="006A4E18" w:rsidRPr="00CC2CE9" w:rsidRDefault="006A4E18" w:rsidP="003806EB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</w:p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Exerciții de dezvoltare personală</w:t>
            </w:r>
          </w:p>
        </w:tc>
        <w:tc>
          <w:tcPr>
            <w:tcW w:w="3129" w:type="dxa"/>
            <w:shd w:val="clear" w:color="auto" w:fill="auto"/>
          </w:tcPr>
          <w:p w:rsidR="006A4E18" w:rsidRPr="00CC2CE9" w:rsidRDefault="006A4E18" w:rsidP="003806E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CC2CE9">
              <w:rPr>
                <w:rFonts w:ascii="Times New Roman" w:hAnsi="Times New Roman"/>
                <w:sz w:val="24"/>
                <w:szCs w:val="24"/>
                <w:lang w:val="ro-RO" w:eastAsia="ro-RO"/>
              </w:rPr>
              <w:t>2 ore</w:t>
            </w:r>
          </w:p>
        </w:tc>
      </w:tr>
      <w:tr w:rsidR="006A4E18" w:rsidRPr="002644F8" w:rsidTr="003806EB">
        <w:tc>
          <w:tcPr>
            <w:tcW w:w="9385" w:type="dxa"/>
            <w:gridSpan w:val="3"/>
            <w:shd w:val="clear" w:color="auto" w:fill="auto"/>
          </w:tcPr>
          <w:p w:rsidR="006A4E1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Bibliografie :</w:t>
            </w:r>
          </w:p>
          <w:p w:rsidR="006A4E18" w:rsidRPr="00D165A0" w:rsidRDefault="006A4E18" w:rsidP="006A4E18">
            <w:pPr>
              <w:numPr>
                <w:ilvl w:val="0"/>
                <w:numId w:val="34"/>
              </w:numPr>
              <w:jc w:val="both"/>
            </w:pPr>
            <w:r>
              <w:t xml:space="preserve">Goldrick, M (2008), </w:t>
            </w:r>
            <w:r w:rsidRPr="00E11851">
              <w:rPr>
                <w:i/>
                <w:iCs/>
              </w:rPr>
              <w:t>Genograms. Assessment and Intervention</w:t>
            </w:r>
            <w:r>
              <w:t>, London, W.W.Norton &amp; Company</w:t>
            </w:r>
          </w:p>
          <w:p w:rsidR="006A4E18" w:rsidRDefault="006A4E18" w:rsidP="006A4E18">
            <w:pPr>
              <w:numPr>
                <w:ilvl w:val="0"/>
                <w:numId w:val="34"/>
              </w:numPr>
              <w:jc w:val="both"/>
            </w:pPr>
            <w:r w:rsidRPr="0060670A">
              <w:t xml:space="preserve">Minuchin, S., Nichols, M.P., Yung Lee, W. (2015), </w:t>
            </w:r>
            <w:r w:rsidRPr="0060670A">
              <w:rPr>
                <w:i/>
                <w:iCs/>
              </w:rPr>
              <w:t>Evaluarea familiei și cuplului. De la simptom la sistem,</w:t>
            </w:r>
            <w:r w:rsidRPr="0060670A">
              <w:t xml:space="preserve"> Editura Alianța pentru copil și familie, București</w:t>
            </w:r>
          </w:p>
          <w:p w:rsidR="006A4E18" w:rsidRDefault="006A4E18" w:rsidP="006A4E18">
            <w:pPr>
              <w:numPr>
                <w:ilvl w:val="0"/>
                <w:numId w:val="34"/>
              </w:numPr>
              <w:jc w:val="both"/>
            </w:pPr>
            <w:r w:rsidRPr="0060670A">
              <w:t xml:space="preserve">Nichols, M.P., Schwartz, R.C., </w:t>
            </w:r>
            <w:r w:rsidRPr="0060670A">
              <w:rPr>
                <w:i/>
                <w:iCs/>
              </w:rPr>
              <w:t>Terapia de familie. Concepte si metode</w:t>
            </w:r>
            <w:r w:rsidRPr="0060670A">
              <w:t xml:space="preserve"> (2005), Bucuresti, Asociatia de Terapie familiala</w:t>
            </w:r>
          </w:p>
          <w:p w:rsidR="006A4E18" w:rsidRPr="0060670A" w:rsidRDefault="006A4E18" w:rsidP="006A4E18">
            <w:pPr>
              <w:numPr>
                <w:ilvl w:val="0"/>
                <w:numId w:val="34"/>
              </w:numPr>
              <w:jc w:val="both"/>
            </w:pPr>
            <w:r w:rsidRPr="009313E9">
              <w:t xml:space="preserve">Zamoșteanu, A. (2008). </w:t>
            </w:r>
            <w:r w:rsidRPr="009313E9">
              <w:rPr>
                <w:bCs/>
                <w:i/>
                <w:iCs/>
              </w:rPr>
              <w:t>Psihoterapie familială și intervenții sistemice</w:t>
            </w:r>
            <w:r w:rsidRPr="009313E9">
              <w:t>. Timișoara: Editura Eurobit</w:t>
            </w:r>
          </w:p>
          <w:p w:rsidR="006A4E18" w:rsidRPr="002644F8" w:rsidRDefault="006A4E18" w:rsidP="003806EB">
            <w:pPr>
              <w:pStyle w:val="NoSpacing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:rsidR="00802D13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:rsidTr="00E0255D">
        <w:tc>
          <w:tcPr>
            <w:tcW w:w="9389" w:type="dxa"/>
          </w:tcPr>
          <w:p w:rsidR="00E0255D" w:rsidRPr="00C4385C" w:rsidRDefault="006A4E18" w:rsidP="00802D13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Tematica cursului şi seminarului a fost stabilită ţinând cont de: documentele ARACIS, tematicile propuse de alte facultăţi de profil din ţară şi străinătate şi de cerinţele marilor angajatori şi asociaţiilor profesionale, cum ar fi Colegiul Psihologilor din România.</w:t>
            </w:r>
          </w:p>
        </w:tc>
      </w:tr>
    </w:tbl>
    <w:p w:rsidR="00802D13" w:rsidRDefault="00802D13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</w:rPr>
      </w:pPr>
    </w:p>
    <w:p w:rsidR="00E0255D" w:rsidRPr="00C4385C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:rsidTr="00802D13">
        <w:tc>
          <w:tcPr>
            <w:tcW w:w="2581" w:type="dxa"/>
            <w:shd w:val="clear" w:color="auto" w:fill="auto"/>
          </w:tcPr>
          <w:p w:rsidR="00E0255D" w:rsidRPr="00C4385C" w:rsidRDefault="00E0255D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:rsidR="00E0255D" w:rsidRPr="00C4385C" w:rsidRDefault="00B66D4A" w:rsidP="00752E1C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6A4E18" w:rsidRPr="00C4385C" w:rsidTr="00802D13">
        <w:trPr>
          <w:trHeight w:val="363"/>
        </w:trPr>
        <w:tc>
          <w:tcPr>
            <w:tcW w:w="2581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.4 Curs</w:t>
            </w:r>
          </w:p>
        </w:tc>
        <w:tc>
          <w:tcPr>
            <w:tcW w:w="1912" w:type="dxa"/>
            <w:shd w:val="clear" w:color="auto" w:fill="auto"/>
          </w:tcPr>
          <w:p w:rsidR="006A4E18" w:rsidRPr="00C4385C" w:rsidRDefault="006A4E18" w:rsidP="006A4E18">
            <w:pPr>
              <w:rPr>
                <w:rFonts w:asciiTheme="minorHAnsi" w:hAnsiTheme="minorHAnsi" w:cstheme="minorHAnsi"/>
              </w:rPr>
            </w:pPr>
          </w:p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Examen</w:t>
            </w:r>
          </w:p>
        </w:tc>
        <w:tc>
          <w:tcPr>
            <w:tcW w:w="3191" w:type="dxa"/>
            <w:shd w:val="clear" w:color="auto" w:fill="auto"/>
          </w:tcPr>
          <w:p w:rsidR="006A4E18" w:rsidRDefault="006A4E18" w:rsidP="006A4E18">
            <w:pPr>
              <w:pStyle w:val="NoSpacing"/>
              <w:jc w:val="both"/>
              <w:rPr>
                <w:rFonts w:ascii="Times New Roman" w:hAnsi="Times New Roman"/>
                <w:noProof/>
              </w:rPr>
            </w:pPr>
            <w:r w:rsidRPr="00CE4D29">
              <w:rPr>
                <w:rFonts w:ascii="Times New Roman" w:hAnsi="Times New Roman"/>
                <w:noProof/>
              </w:rPr>
              <w:t xml:space="preserve">Examenul are la bază </w:t>
            </w:r>
            <w:r>
              <w:rPr>
                <w:rFonts w:ascii="Times New Roman" w:hAnsi="Times New Roman"/>
                <w:noProof/>
              </w:rPr>
              <w:t>evaluarea cunostintelor</w:t>
            </w:r>
            <w:r w:rsidRPr="00CE4D29">
              <w:rPr>
                <w:rFonts w:ascii="Times New Roman" w:hAnsi="Times New Roman"/>
                <w:noProof/>
              </w:rPr>
              <w:t xml:space="preserve"> dobândite în timpul cursului.</w:t>
            </w:r>
            <w:r>
              <w:rPr>
                <w:rFonts w:ascii="Times New Roman" w:hAnsi="Times New Roman"/>
                <w:noProof/>
              </w:rPr>
              <w:t xml:space="preserve"> Examenul va fi </w:t>
            </w:r>
            <w:r w:rsidR="00D974A7">
              <w:rPr>
                <w:rFonts w:ascii="Times New Roman" w:hAnsi="Times New Roman"/>
                <w:noProof/>
              </w:rPr>
              <w:t xml:space="preserve">de tip </w:t>
            </w:r>
            <w:r w:rsidR="00D974A7" w:rsidRPr="00D974A7">
              <w:rPr>
                <w:rFonts w:ascii="Times New Roman" w:hAnsi="Times New Roman"/>
                <w:b/>
                <w:bCs/>
                <w:noProof/>
              </w:rPr>
              <w:t xml:space="preserve">examen </w:t>
            </w:r>
            <w:r w:rsidRPr="00D974A7">
              <w:rPr>
                <w:rFonts w:ascii="Times New Roman" w:hAnsi="Times New Roman"/>
                <w:b/>
                <w:bCs/>
                <w:noProof/>
              </w:rPr>
              <w:t>scris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lang w:val="ro-RO"/>
              </w:rPr>
              <w:t xml:space="preserve">și se va desfășura față în față sau </w:t>
            </w:r>
            <w:r w:rsidRPr="00723888">
              <w:rPr>
                <w:rFonts w:ascii="Times New Roman" w:hAnsi="Times New Roman"/>
                <w:b/>
                <w:noProof/>
                <w:lang w:val="ro-RO"/>
              </w:rPr>
              <w:t>prin videoconferință (Google Meet).</w:t>
            </w:r>
          </w:p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695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6A4E18" w:rsidRPr="00C4385C" w:rsidTr="00802D13">
        <w:trPr>
          <w:trHeight w:val="567"/>
        </w:trPr>
        <w:tc>
          <w:tcPr>
            <w:tcW w:w="2581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Pr="00C4385C">
              <w:rPr>
                <w:rFonts w:asciiTheme="minorHAnsi" w:hAnsiTheme="minorHAnsi" w:cstheme="minorHAnsi"/>
                <w:lang w:val="ro-RO"/>
              </w:rPr>
              <w:t>.5 Seminar / laborator</w:t>
            </w:r>
          </w:p>
        </w:tc>
        <w:tc>
          <w:tcPr>
            <w:tcW w:w="1912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Lucrare de evaluare</w:t>
            </w:r>
          </w:p>
        </w:tc>
        <w:tc>
          <w:tcPr>
            <w:tcW w:w="3191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noProof/>
              </w:rPr>
              <w:t xml:space="preserve">Pe parcursul seminariilor, masteranzii vor prezenta o lucrare practica, reprezentând 50% din valoarea notei finale și constând dintr-o analiza de caz cu aplicarea tehnicilor si a conceptelor asimilate până la </w:t>
            </w:r>
            <w:r>
              <w:rPr>
                <w:rFonts w:ascii="Times New Roman" w:hAnsi="Times New Roman"/>
                <w:noProof/>
              </w:rPr>
              <w:lastRenderedPageBreak/>
              <w:t xml:space="preserve">momentul respectiv. </w:t>
            </w:r>
            <w:r>
              <w:rPr>
                <w:rFonts w:ascii="Times New Roman" w:hAnsi="Times New Roman"/>
                <w:noProof/>
                <w:lang w:val="ro-RO"/>
              </w:rPr>
              <w:t xml:space="preserve">Evaluarea va fi de tip </w:t>
            </w:r>
            <w:r w:rsidRPr="009D73EA">
              <w:rPr>
                <w:rFonts w:ascii="Times New Roman" w:hAnsi="Times New Roman"/>
                <w:b/>
                <w:noProof/>
                <w:lang w:val="ro-RO"/>
              </w:rPr>
              <w:t xml:space="preserve">examen oral </w:t>
            </w:r>
            <w:r>
              <w:rPr>
                <w:rFonts w:ascii="Times New Roman" w:hAnsi="Times New Roman"/>
                <w:noProof/>
                <w:lang w:val="ro-RO"/>
              </w:rPr>
              <w:t xml:space="preserve">și se va desfășura fata in fata sau </w:t>
            </w:r>
            <w:r w:rsidRPr="00723888">
              <w:rPr>
                <w:rFonts w:ascii="Times New Roman" w:hAnsi="Times New Roman"/>
                <w:b/>
                <w:noProof/>
                <w:lang w:val="ro-RO"/>
              </w:rPr>
              <w:t>prin videoconferință (Google Meet).</w:t>
            </w:r>
          </w:p>
        </w:tc>
        <w:tc>
          <w:tcPr>
            <w:tcW w:w="1695" w:type="dxa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50%</w:t>
            </w:r>
          </w:p>
        </w:tc>
      </w:tr>
      <w:tr w:rsidR="006A4E18" w:rsidRPr="00C4385C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9.6 Standard minim de performanță</w:t>
            </w:r>
          </w:p>
        </w:tc>
      </w:tr>
      <w:tr w:rsidR="006A4E18" w:rsidRPr="00C4385C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:rsidR="006A4E18" w:rsidRDefault="006A4E18" w:rsidP="006A4E18">
            <w:pPr>
              <w:pStyle w:val="NoSpacing"/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Atat la activitatea </w:t>
            </w:r>
            <w:r w:rsidR="00D974A7">
              <w:rPr>
                <w:rFonts w:ascii="Times New Roman" w:hAnsi="Times New Roman"/>
                <w:noProof/>
              </w:rPr>
              <w:t>de seminar</w:t>
            </w:r>
            <w:r>
              <w:rPr>
                <w:rFonts w:ascii="Times New Roman" w:hAnsi="Times New Roman"/>
                <w:noProof/>
              </w:rPr>
              <w:t>, cat si la examen</w:t>
            </w:r>
            <w:r w:rsidR="00D974A7">
              <w:rPr>
                <w:rFonts w:ascii="Times New Roman" w:hAnsi="Times New Roman"/>
                <w:noProof/>
              </w:rPr>
              <w:t>ul scris,</w:t>
            </w:r>
            <w:r>
              <w:rPr>
                <w:rFonts w:ascii="Times New Roman" w:hAnsi="Times New Roman"/>
                <w:noProof/>
              </w:rPr>
              <w:t xml:space="preserve"> nota</w:t>
            </w:r>
            <w:r w:rsidRPr="00A37A78">
              <w:rPr>
                <w:rFonts w:ascii="Times New Roman" w:hAnsi="Times New Roman"/>
                <w:noProof/>
              </w:rPr>
              <w:t xml:space="preserve"> minim</w:t>
            </w:r>
            <w:r>
              <w:rPr>
                <w:rFonts w:ascii="Times New Roman" w:hAnsi="Times New Roman"/>
                <w:noProof/>
              </w:rPr>
              <w:t>a</w:t>
            </w:r>
            <w:r w:rsidRPr="00A37A78"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>este</w:t>
            </w:r>
            <w:r w:rsidRPr="00A37A78">
              <w:rPr>
                <w:rFonts w:ascii="Times New Roman" w:hAnsi="Times New Roman"/>
                <w:noProof/>
              </w:rPr>
              <w:t xml:space="preserve"> 5.</w:t>
            </w:r>
          </w:p>
          <w:p w:rsidR="006A4E18" w:rsidRDefault="006A4E18" w:rsidP="006A4E18">
            <w:pPr>
              <w:pStyle w:val="Default"/>
              <w:jc w:val="both"/>
              <w:rPr>
                <w:rFonts w:ascii="Times New Roman" w:hAnsi="Times New Roman"/>
                <w:noProof/>
                <w:lang w:val="ro-RO"/>
              </w:rPr>
            </w:pPr>
          </w:p>
          <w:p w:rsidR="006A4E18" w:rsidRPr="00C4385C" w:rsidRDefault="006A4E18" w:rsidP="006A4E18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noProof/>
                <w:lang w:val="ro-RO"/>
              </w:rPr>
              <w:t xml:space="preserve">In sesiunea de restanțe, evaluarea va fi de tip </w:t>
            </w:r>
            <w:r w:rsidRPr="009D73EA">
              <w:rPr>
                <w:rFonts w:ascii="Times New Roman" w:hAnsi="Times New Roman"/>
                <w:b/>
                <w:noProof/>
                <w:lang w:val="ro-RO"/>
              </w:rPr>
              <w:t>examen</w:t>
            </w:r>
            <w:r>
              <w:rPr>
                <w:rFonts w:ascii="Times New Roman" w:hAnsi="Times New Roman"/>
                <w:b/>
                <w:noProof/>
                <w:lang w:val="ro-RO"/>
              </w:rPr>
              <w:t xml:space="preserve"> scris</w:t>
            </w:r>
            <w:r w:rsidR="00D974A7">
              <w:rPr>
                <w:rFonts w:ascii="Times New Roman" w:hAnsi="Times New Roman"/>
                <w:b/>
                <w:noProof/>
                <w:lang w:val="ro-RO"/>
              </w:rPr>
              <w:t>, la care se adauga si prezentarea studiului de caz (examen oral)</w:t>
            </w:r>
            <w:r>
              <w:rPr>
                <w:rFonts w:ascii="Times New Roman" w:hAnsi="Times New Roman"/>
                <w:b/>
                <w:noProof/>
                <w:lang w:val="ro-RO"/>
              </w:rPr>
              <w:t>.</w:t>
            </w:r>
            <w:r w:rsidR="00D974A7">
              <w:rPr>
                <w:rFonts w:ascii="Times New Roman" w:hAnsi="Times New Roman"/>
                <w:b/>
                <w:noProof/>
                <w:lang w:val="ro-RO"/>
              </w:rPr>
              <w:t xml:space="preserve"> </w:t>
            </w:r>
            <w:r w:rsidR="00D974A7" w:rsidRPr="00D974A7">
              <w:rPr>
                <w:rFonts w:ascii="Times New Roman" w:hAnsi="Times New Roman"/>
                <w:bCs/>
                <w:noProof/>
                <w:lang w:val="ro-RO"/>
              </w:rPr>
              <w:t>Evaluarea se poate derula fata in fata sau prin videoconferinta.</w:t>
            </w:r>
          </w:p>
        </w:tc>
      </w:tr>
    </w:tbl>
    <w:p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:rsidR="005F6BF6" w:rsidRDefault="005F6BF6" w:rsidP="00802D13">
      <w:pPr>
        <w:rPr>
          <w:rFonts w:asciiTheme="minorHAnsi" w:eastAsia="Calibri" w:hAnsiTheme="minorHAnsi" w:cstheme="minorHAnsi"/>
        </w:rPr>
      </w:pPr>
    </w:p>
    <w:p w:rsidR="00D974A7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Data completării           </w:t>
      </w:r>
    </w:p>
    <w:p w:rsidR="00802D13" w:rsidRDefault="00D974A7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08.09.2023</w:t>
      </w:r>
      <w:r w:rsidR="005F6BF6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Titular de disciplină</w:t>
      </w:r>
    </w:p>
    <w:p w:rsidR="00D974A7" w:rsidRDefault="00D974A7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>Conf dr. Alina Oana Zamosteanu</w:t>
      </w:r>
    </w:p>
    <w:p w:rsidR="005F6BF6" w:rsidRDefault="005F6BF6" w:rsidP="00802D13">
      <w:pPr>
        <w:rPr>
          <w:rFonts w:asciiTheme="minorHAnsi" w:eastAsia="Calibri" w:hAnsiTheme="minorHAnsi" w:cstheme="minorHAnsi"/>
        </w:rPr>
      </w:pPr>
    </w:p>
    <w:p w:rsidR="005F6BF6" w:rsidRDefault="005F6BF6" w:rsidP="00802D13">
      <w:pPr>
        <w:rPr>
          <w:rFonts w:asciiTheme="minorHAnsi" w:eastAsia="Calibri" w:hAnsiTheme="minorHAnsi" w:cstheme="minorHAnsi"/>
        </w:rPr>
      </w:pPr>
    </w:p>
    <w:p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64" w:rsidRDefault="00071664" w:rsidP="003E226A">
      <w:r>
        <w:separator/>
      </w:r>
    </w:p>
  </w:endnote>
  <w:endnote w:type="continuationSeparator" w:id="0">
    <w:p w:rsidR="00071664" w:rsidRDefault="00071664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93CCA" w:rsidRDefault="002B4A7E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93CCA" w:rsidRDefault="002B4A7E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193CCA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0F7" w:rsidRPr="00F85CC7" w:rsidRDefault="00071664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-68.35pt;margin-top:12pt;width:589.45pt;height:51.6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<v:path arrowok="t"/>
          <v:textbox>
            <w:txbxContent>
              <w:p w:rsidR="00B46A70" w:rsidRPr="00713E4D" w:rsidRDefault="00B46A70" w:rsidP="00B46A70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Adresă poștală: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Bd. Vasile Pârvan nr. 4,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cod poștal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300223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Timi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ș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oara,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jud. Timiș,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România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br/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Număr de t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el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efon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: +40-(0)256-592.300 (310)</w:t>
                </w:r>
              </w:p>
              <w:p w:rsidR="00B46A70" w:rsidRPr="00713E4D" w:rsidRDefault="00B46A70" w:rsidP="00B46A70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>Adresă de e-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 xml:space="preserve">mail: </w:t>
                </w:r>
                <w:hyperlink r:id="rId1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secretariat@e-uvt.ro</w:t>
                  </w:r>
                </w:hyperlink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</w:t>
                </w:r>
              </w:p>
              <w:p w:rsidR="00B46A70" w:rsidRDefault="00B46A70" w:rsidP="00B46A70">
                <w:pPr>
                  <w:jc w:val="center"/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Website: </w:t>
                </w:r>
                <w:hyperlink r:id="rId2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www.uvt.ro</w:t>
                  </w:r>
                </w:hyperlink>
              </w:p>
              <w:p w:rsidR="00F85CC7" w:rsidRDefault="00F85CC7"/>
            </w:txbxContent>
          </v:textbox>
        </v:shape>
      </w:pict>
    </w:r>
    <w:hyperlink r:id="rId3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07E" w:rsidRDefault="00071664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573.75pt;height:51.65pt;z-index:251699200;visibility:visible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<v:textbox>
            <w:txbxContent>
              <w:p w:rsidR="0086407E" w:rsidRPr="00713E4D" w:rsidRDefault="0086407E" w:rsidP="0086407E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Adresă poștală: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Bd. Vasile Pârvan nr. 4,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cod poștal 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300223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Timi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ș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oara,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jud. Timiș,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 România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br/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Număr de t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el</w:t>
                </w: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efon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>: +40-(0)256-592.300 (310)</w:t>
                </w:r>
              </w:p>
              <w:p w:rsidR="0086407E" w:rsidRPr="00713E4D" w:rsidRDefault="0086407E" w:rsidP="0086407E">
                <w:pPr>
                  <w:ind w:left="-426" w:right="-158"/>
                  <w:jc w:val="center"/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>Adresă de e-</w:t>
                </w:r>
                <w:r w:rsidRPr="00713E4D"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</w:rPr>
                  <w:t xml:space="preserve">mail: </w:t>
                </w:r>
                <w:hyperlink r:id="rId1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secretariat@e-uvt.ro</w:t>
                  </w:r>
                </w:hyperlink>
              </w:p>
              <w:p w:rsidR="0086407E" w:rsidRDefault="0086407E" w:rsidP="0086407E">
                <w:pPr>
                  <w:jc w:val="center"/>
                </w:pPr>
                <w:r>
                  <w:rPr>
                    <w:rFonts w:ascii="Arial" w:hAnsi="Arial" w:cs="Arial"/>
                    <w:color w:val="A6A6A6" w:themeColor="background1" w:themeShade="A6"/>
                    <w:sz w:val="17"/>
                    <w:szCs w:val="17"/>
                    <w:shd w:val="clear" w:color="auto" w:fill="FFFFFF"/>
                  </w:rPr>
                  <w:t xml:space="preserve">Website: </w:t>
                </w:r>
                <w:hyperlink r:id="rId2" w:history="1">
                  <w:r w:rsidRPr="00C14CCA">
                    <w:rPr>
                      <w:rStyle w:val="Hyperlink"/>
                      <w:rFonts w:ascii="Arial" w:hAnsi="Arial" w:cs="Arial"/>
                      <w:sz w:val="17"/>
                      <w:szCs w:val="17"/>
                      <w:shd w:val="clear" w:color="auto" w:fill="FFFFFF"/>
                    </w:rPr>
                    <w:t>www.uvt.ro</w:t>
                  </w:r>
                </w:hyperlink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64" w:rsidRDefault="00071664" w:rsidP="003E226A">
      <w:r>
        <w:separator/>
      </w:r>
    </w:p>
  </w:footnote>
  <w:footnote w:type="continuationSeparator" w:id="0">
    <w:p w:rsidR="00071664" w:rsidRDefault="00071664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166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142.7pt;margin-top:34.4pt;width:374.1pt;height:29.6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<v:path arrowok="t"/>
          <v:textbox>
            <w:txbxContent>
              <w:p w:rsidR="001D34E8" w:rsidRPr="007A49D1" w:rsidRDefault="00884B42" w:rsidP="007A49D1">
                <w:pPr>
                  <w:pStyle w:val="Subtitle"/>
                  <w:spacing w:after="0"/>
                  <w:jc w:val="right"/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</w:pPr>
                <w:r w:rsidRPr="007A49D1"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  <w:t>MINISTERUL EDUCAȚIEI</w:t>
                </w:r>
              </w:p>
              <w:p w:rsidR="00884B42" w:rsidRDefault="00884B42" w:rsidP="007A49D1">
                <w:pPr>
                  <w:pStyle w:val="Subtitle"/>
                  <w:spacing w:after="0"/>
                  <w:jc w:val="right"/>
                </w:pPr>
                <w:r w:rsidRPr="00884B42">
                  <w:t>UNIVERSITATEA DE VEST DIN TIMIȘOARA</w:t>
                </w:r>
              </w:p>
              <w:p w:rsidR="002A2C06" w:rsidRPr="002A2C06" w:rsidRDefault="002A2C06" w:rsidP="002A2C06">
                <w:pPr>
                  <w:jc w:val="right"/>
                  <w:rPr>
                    <w:rFonts w:ascii="Calibri" w:hAnsi="Calibri"/>
                  </w:rPr>
                </w:pPr>
              </w:p>
            </w:txbxContent>
          </v:textbox>
        </v:shape>
      </w:pic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CCA" w:rsidRDefault="00071664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3.5pt;margin-top:41.6pt;width:374.1pt;height:29.6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<v:path arrowok="t"/>
          <v:textbox>
            <w:txbxContent>
              <w:p w:rsidR="0086407E" w:rsidRPr="007A49D1" w:rsidRDefault="0086407E" w:rsidP="0086407E">
                <w:pPr>
                  <w:pStyle w:val="Subtitle"/>
                  <w:spacing w:after="0"/>
                  <w:jc w:val="right"/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</w:pPr>
                <w:r w:rsidRPr="007A49D1">
                  <w:rPr>
                    <w:rFonts w:ascii="Myriad Pro" w:hAnsi="Myriad Pro"/>
                    <w:color w:val="548DD4" w:themeColor="text2" w:themeTint="99"/>
                    <w:sz w:val="16"/>
                    <w:szCs w:val="16"/>
                  </w:rPr>
                  <w:t>MINISTERUL EDUCAȚIEI NAȚIONALE</w:t>
                </w:r>
              </w:p>
              <w:p w:rsidR="0086407E" w:rsidRPr="00884B42" w:rsidRDefault="0086407E" w:rsidP="0086407E">
                <w:pPr>
                  <w:pStyle w:val="Subtitle"/>
                  <w:spacing w:after="0"/>
                  <w:jc w:val="right"/>
                </w:pPr>
                <w:r w:rsidRPr="00884B42">
                  <w:t>UNIVERSITATEA DE VEST DIN TIMIȘOARA</w:t>
                </w:r>
              </w:p>
              <w:p w:rsidR="00193CCA" w:rsidRPr="002A2C06" w:rsidRDefault="00193CCA" w:rsidP="00193CCA">
                <w:pPr>
                  <w:jc w:val="right"/>
                  <w:rPr>
                    <w:rFonts w:ascii="Calibri" w:hAnsi="Calibri"/>
                  </w:rPr>
                </w:pPr>
              </w:p>
            </w:txbxContent>
          </v:textbox>
        </v:shape>
      </w:pic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7E73"/>
    <w:multiLevelType w:val="hybridMultilevel"/>
    <w:tmpl w:val="B1661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C755FC"/>
    <w:multiLevelType w:val="hybridMultilevel"/>
    <w:tmpl w:val="C37AAB5E"/>
    <w:lvl w:ilvl="0" w:tplc="D0B42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F123976"/>
    <w:multiLevelType w:val="hybridMultilevel"/>
    <w:tmpl w:val="C37AAB5E"/>
    <w:lvl w:ilvl="0" w:tplc="D0B42E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E2E58"/>
    <w:multiLevelType w:val="hybridMultilevel"/>
    <w:tmpl w:val="2C2CE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15"/>
  </w:num>
  <w:num w:numId="4">
    <w:abstractNumId w:val="9"/>
  </w:num>
  <w:num w:numId="5">
    <w:abstractNumId w:val="29"/>
  </w:num>
  <w:num w:numId="6">
    <w:abstractNumId w:val="16"/>
  </w:num>
  <w:num w:numId="7">
    <w:abstractNumId w:val="10"/>
  </w:num>
  <w:num w:numId="8">
    <w:abstractNumId w:val="7"/>
  </w:num>
  <w:num w:numId="9">
    <w:abstractNumId w:val="21"/>
  </w:num>
  <w:num w:numId="10">
    <w:abstractNumId w:val="19"/>
  </w:num>
  <w:num w:numId="11">
    <w:abstractNumId w:val="17"/>
  </w:num>
  <w:num w:numId="12">
    <w:abstractNumId w:val="13"/>
  </w:num>
  <w:num w:numId="13">
    <w:abstractNumId w:val="27"/>
  </w:num>
  <w:num w:numId="14">
    <w:abstractNumId w:val="4"/>
  </w:num>
  <w:num w:numId="15">
    <w:abstractNumId w:val="14"/>
  </w:num>
  <w:num w:numId="16">
    <w:abstractNumId w:val="23"/>
  </w:num>
  <w:num w:numId="17">
    <w:abstractNumId w:val="32"/>
  </w:num>
  <w:num w:numId="18">
    <w:abstractNumId w:val="12"/>
  </w:num>
  <w:num w:numId="19">
    <w:abstractNumId w:val="5"/>
  </w:num>
  <w:num w:numId="20">
    <w:abstractNumId w:val="18"/>
  </w:num>
  <w:num w:numId="21">
    <w:abstractNumId w:val="25"/>
  </w:num>
  <w:num w:numId="22">
    <w:abstractNumId w:val="31"/>
  </w:num>
  <w:num w:numId="23">
    <w:abstractNumId w:val="20"/>
  </w:num>
  <w:num w:numId="24">
    <w:abstractNumId w:val="28"/>
  </w:num>
  <w:num w:numId="25">
    <w:abstractNumId w:val="33"/>
  </w:num>
  <w:num w:numId="26">
    <w:abstractNumId w:val="3"/>
  </w:num>
  <w:num w:numId="27">
    <w:abstractNumId w:val="22"/>
  </w:num>
  <w:num w:numId="28">
    <w:abstractNumId w:val="24"/>
  </w:num>
  <w:num w:numId="29">
    <w:abstractNumId w:val="8"/>
  </w:num>
  <w:num w:numId="30">
    <w:abstractNumId w:val="2"/>
  </w:num>
  <w:num w:numId="31">
    <w:abstractNumId w:val="30"/>
  </w:num>
  <w:num w:numId="32">
    <w:abstractNumId w:val="1"/>
  </w:num>
  <w:num w:numId="33">
    <w:abstractNumId w:val="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D57"/>
    <w:rsid w:val="00001FE1"/>
    <w:rsid w:val="00006384"/>
    <w:rsid w:val="00006A11"/>
    <w:rsid w:val="00017556"/>
    <w:rsid w:val="00027099"/>
    <w:rsid w:val="00027C52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1664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76BC2"/>
    <w:rsid w:val="00286335"/>
    <w:rsid w:val="00287419"/>
    <w:rsid w:val="0029063D"/>
    <w:rsid w:val="002A007E"/>
    <w:rsid w:val="002A2C06"/>
    <w:rsid w:val="002A3C87"/>
    <w:rsid w:val="002B11E0"/>
    <w:rsid w:val="002B4A7E"/>
    <w:rsid w:val="002B6BDC"/>
    <w:rsid w:val="002B71D3"/>
    <w:rsid w:val="002C64E3"/>
    <w:rsid w:val="002D2F0E"/>
    <w:rsid w:val="002D3D67"/>
    <w:rsid w:val="002E0EBF"/>
    <w:rsid w:val="002E4EA3"/>
    <w:rsid w:val="002F1E32"/>
    <w:rsid w:val="002F53B8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924D0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A4E18"/>
    <w:rsid w:val="006B1918"/>
    <w:rsid w:val="006C68F5"/>
    <w:rsid w:val="006E2D60"/>
    <w:rsid w:val="006E3207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C50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439EC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9F763C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A12BD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974A7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  <w15:docId w15:val="{0D8589AD-B372-474D-BD58-1910F109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Website:%20http://www.uvt.ro/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1408</Words>
  <Characters>8032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9422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Author</cp:lastModifiedBy>
  <cp:revision>4</cp:revision>
  <cp:lastPrinted>2017-11-08T12:05:00Z</cp:lastPrinted>
  <dcterms:created xsi:type="dcterms:W3CDTF">2023-09-08T09:31:00Z</dcterms:created>
  <dcterms:modified xsi:type="dcterms:W3CDTF">2023-09-13T08:07:00Z</dcterms:modified>
</cp:coreProperties>
</file>