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B8C3A" w14:textId="77777777" w:rsidR="00C4385C" w:rsidRPr="002559F2" w:rsidRDefault="00C4385C" w:rsidP="00752E1C">
      <w:pPr>
        <w:tabs>
          <w:tab w:val="left" w:pos="2023"/>
        </w:tabs>
        <w:spacing w:line="276" w:lineRule="auto"/>
        <w:rPr>
          <w:b/>
          <w:bCs/>
          <w:sz w:val="22"/>
          <w:szCs w:val="22"/>
        </w:rPr>
      </w:pPr>
    </w:p>
    <w:p w14:paraId="1A4AF4A1" w14:textId="083461BE" w:rsidR="00E0255D" w:rsidRPr="002559F2" w:rsidRDefault="00E0255D" w:rsidP="00E0255D">
      <w:pPr>
        <w:jc w:val="center"/>
        <w:rPr>
          <w:b/>
          <w:sz w:val="22"/>
          <w:szCs w:val="22"/>
        </w:rPr>
      </w:pPr>
      <w:r w:rsidRPr="002559F2">
        <w:rPr>
          <w:b/>
          <w:sz w:val="22"/>
          <w:szCs w:val="22"/>
        </w:rPr>
        <w:t>FI</w:t>
      </w:r>
      <w:r w:rsidR="00C4385C" w:rsidRPr="002559F2">
        <w:rPr>
          <w:b/>
          <w:sz w:val="22"/>
          <w:szCs w:val="22"/>
        </w:rPr>
        <w:t>Ș</w:t>
      </w:r>
      <w:r w:rsidRPr="002559F2">
        <w:rPr>
          <w:b/>
          <w:sz w:val="22"/>
          <w:szCs w:val="22"/>
        </w:rPr>
        <w:t>A DISCIPLINEI</w:t>
      </w:r>
    </w:p>
    <w:p w14:paraId="16E71824" w14:textId="77777777" w:rsidR="00C4385C" w:rsidRPr="002559F2" w:rsidRDefault="00C4385C" w:rsidP="00C4385C">
      <w:pPr>
        <w:rPr>
          <w:b/>
          <w:sz w:val="22"/>
          <w:szCs w:val="22"/>
        </w:rPr>
      </w:pPr>
    </w:p>
    <w:p w14:paraId="48979124" w14:textId="77777777" w:rsidR="00E0255D" w:rsidRPr="002559F2" w:rsidRDefault="00E0255D" w:rsidP="00D644D2">
      <w:pPr>
        <w:pStyle w:val="ListParagraph"/>
        <w:numPr>
          <w:ilvl w:val="0"/>
          <w:numId w:val="26"/>
        </w:numPr>
        <w:spacing w:line="276" w:lineRule="auto"/>
        <w:ind w:left="284" w:hanging="284"/>
        <w:rPr>
          <w:b/>
          <w:sz w:val="22"/>
          <w:szCs w:val="22"/>
        </w:rPr>
      </w:pPr>
      <w:r w:rsidRPr="002559F2">
        <w:rPr>
          <w:b/>
          <w:sz w:val="22"/>
          <w:szCs w:val="22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2559F2" w:rsidRPr="002559F2" w14:paraId="5F99CFA1" w14:textId="77777777" w:rsidTr="002559F2">
        <w:tc>
          <w:tcPr>
            <w:tcW w:w="1907" w:type="pct"/>
            <w:vAlign w:val="center"/>
          </w:tcPr>
          <w:p w14:paraId="79A7E4F2" w14:textId="4F0814BD" w:rsidR="002559F2" w:rsidRPr="002559F2" w:rsidRDefault="002559F2" w:rsidP="002559F2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Instituția de învățământ superior</w:t>
            </w:r>
          </w:p>
        </w:tc>
        <w:tc>
          <w:tcPr>
            <w:tcW w:w="3093" w:type="pct"/>
            <w:vAlign w:val="center"/>
          </w:tcPr>
          <w:p w14:paraId="3AD776B6" w14:textId="44D1D193" w:rsidR="002559F2" w:rsidRPr="002559F2" w:rsidRDefault="002559F2" w:rsidP="002559F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2559F2" w:rsidRPr="002559F2" w14:paraId="09F1F378" w14:textId="77777777" w:rsidTr="002559F2">
        <w:tc>
          <w:tcPr>
            <w:tcW w:w="1907" w:type="pct"/>
            <w:vAlign w:val="center"/>
          </w:tcPr>
          <w:p w14:paraId="2ABF2C34" w14:textId="77777777" w:rsidR="002559F2" w:rsidRPr="002559F2" w:rsidRDefault="002559F2" w:rsidP="002559F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3D496A6F" w14:textId="4061DFED" w:rsidR="002559F2" w:rsidRPr="002559F2" w:rsidRDefault="002559F2" w:rsidP="002559F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Facultatea de Sociologie și Psihologie</w:t>
            </w:r>
          </w:p>
        </w:tc>
      </w:tr>
      <w:tr w:rsidR="002559F2" w:rsidRPr="002559F2" w14:paraId="3E2ECC7F" w14:textId="77777777" w:rsidTr="002559F2">
        <w:tc>
          <w:tcPr>
            <w:tcW w:w="1907" w:type="pct"/>
            <w:vAlign w:val="center"/>
          </w:tcPr>
          <w:p w14:paraId="22160B34" w14:textId="77777777" w:rsidR="002559F2" w:rsidRPr="002559F2" w:rsidRDefault="002559F2" w:rsidP="002559F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3CF4E47B" w14:textId="05D853AE" w:rsidR="002559F2" w:rsidRPr="002559F2" w:rsidRDefault="002559F2" w:rsidP="002559F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Psihologie</w:t>
            </w:r>
          </w:p>
        </w:tc>
      </w:tr>
      <w:tr w:rsidR="002559F2" w:rsidRPr="002559F2" w14:paraId="38E2999E" w14:textId="77777777" w:rsidTr="002559F2">
        <w:tc>
          <w:tcPr>
            <w:tcW w:w="1907" w:type="pct"/>
            <w:vAlign w:val="center"/>
          </w:tcPr>
          <w:p w14:paraId="2467FE5A" w14:textId="77777777" w:rsidR="002559F2" w:rsidRPr="002559F2" w:rsidRDefault="002559F2" w:rsidP="002559F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60613FFC" w14:textId="570EDFC0" w:rsidR="002559F2" w:rsidRPr="002559F2" w:rsidRDefault="002559F2" w:rsidP="002559F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Psihologie</w:t>
            </w:r>
          </w:p>
        </w:tc>
      </w:tr>
      <w:tr w:rsidR="002559F2" w:rsidRPr="002559F2" w14:paraId="7410FBFB" w14:textId="77777777" w:rsidTr="002559F2">
        <w:tc>
          <w:tcPr>
            <w:tcW w:w="1907" w:type="pct"/>
            <w:vAlign w:val="center"/>
          </w:tcPr>
          <w:p w14:paraId="682C127F" w14:textId="77777777" w:rsidR="002559F2" w:rsidRPr="002559F2" w:rsidRDefault="002559F2" w:rsidP="002559F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CE2F702" w14:textId="70AAA2A9" w:rsidR="002559F2" w:rsidRPr="002559F2" w:rsidRDefault="002559F2" w:rsidP="002559F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Master</w:t>
            </w:r>
          </w:p>
        </w:tc>
      </w:tr>
      <w:tr w:rsidR="002559F2" w:rsidRPr="002559F2" w14:paraId="0BC03568" w14:textId="77777777" w:rsidTr="002559F2">
        <w:tc>
          <w:tcPr>
            <w:tcW w:w="1907" w:type="pct"/>
            <w:vAlign w:val="center"/>
          </w:tcPr>
          <w:p w14:paraId="4A9FB682" w14:textId="30CB7ED6" w:rsidR="002559F2" w:rsidRPr="002559F2" w:rsidRDefault="00FF1D14" w:rsidP="002559F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1.6 Programul de studii/</w:t>
            </w:r>
            <w:r w:rsidR="002559F2" w:rsidRPr="002559F2">
              <w:rPr>
                <w:rFonts w:ascii="Times New Roman" w:hAnsi="Times New Roman"/>
                <w:lang w:val="ro-RO"/>
              </w:rPr>
              <w:t>Calificarea</w:t>
            </w:r>
          </w:p>
        </w:tc>
        <w:tc>
          <w:tcPr>
            <w:tcW w:w="3093" w:type="pct"/>
            <w:vAlign w:val="center"/>
          </w:tcPr>
          <w:p w14:paraId="4D8BE1D9" w14:textId="5D2F2C66" w:rsidR="002559F2" w:rsidRPr="002559F2" w:rsidRDefault="002559F2" w:rsidP="00FF1D14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Psihologia muncii, psihologie organizațională și a transporturilor</w:t>
            </w:r>
          </w:p>
        </w:tc>
      </w:tr>
    </w:tbl>
    <w:p w14:paraId="67CD805D" w14:textId="77777777" w:rsidR="00E0255D" w:rsidRPr="002559F2" w:rsidRDefault="00E0255D" w:rsidP="00E0255D">
      <w:pPr>
        <w:rPr>
          <w:sz w:val="22"/>
          <w:szCs w:val="22"/>
        </w:rPr>
      </w:pPr>
    </w:p>
    <w:p w14:paraId="51C268B8" w14:textId="77777777" w:rsidR="00E0255D" w:rsidRPr="002559F2" w:rsidRDefault="00E0255D" w:rsidP="00D644D2">
      <w:pPr>
        <w:pStyle w:val="ListParagraph"/>
        <w:numPr>
          <w:ilvl w:val="0"/>
          <w:numId w:val="26"/>
        </w:numPr>
        <w:spacing w:line="276" w:lineRule="auto"/>
        <w:ind w:left="284" w:hanging="284"/>
        <w:rPr>
          <w:b/>
          <w:sz w:val="22"/>
          <w:szCs w:val="22"/>
        </w:rPr>
      </w:pPr>
      <w:r w:rsidRPr="002559F2">
        <w:rPr>
          <w:b/>
          <w:sz w:val="22"/>
          <w:szCs w:val="22"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9"/>
        <w:gridCol w:w="425"/>
        <w:gridCol w:w="2047"/>
        <w:gridCol w:w="363"/>
        <w:gridCol w:w="2067"/>
        <w:gridCol w:w="630"/>
      </w:tblGrid>
      <w:tr w:rsidR="00E0255D" w:rsidRPr="002559F2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2DE74237" w:rsidR="00E0255D" w:rsidRPr="002559F2" w:rsidRDefault="0060283D" w:rsidP="00080D2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Formare și </w:t>
            </w: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perfecționare</w:t>
            </w: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profesională</w:t>
            </w:r>
          </w:p>
        </w:tc>
      </w:tr>
      <w:tr w:rsidR="0060283D" w:rsidRPr="002559F2" w14:paraId="4A61B8F8" w14:textId="77777777" w:rsidTr="00E0255D">
        <w:tc>
          <w:tcPr>
            <w:tcW w:w="3828" w:type="dxa"/>
            <w:gridSpan w:val="3"/>
          </w:tcPr>
          <w:p w14:paraId="4E4EEC75" w14:textId="73DF2536" w:rsidR="0060283D" w:rsidRPr="002559F2" w:rsidRDefault="0060283D" w:rsidP="0060283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2.2 Titularul activităților de curs</w:t>
            </w:r>
          </w:p>
        </w:tc>
        <w:tc>
          <w:tcPr>
            <w:tcW w:w="5561" w:type="dxa"/>
            <w:gridSpan w:val="6"/>
          </w:tcPr>
          <w:p w14:paraId="44D2144D" w14:textId="48109313" w:rsidR="0060283D" w:rsidRPr="00AC0158" w:rsidRDefault="0060283D" w:rsidP="0060283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AC0158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Conf. univ. dr. Ramona Paloș</w:t>
            </w:r>
          </w:p>
        </w:tc>
      </w:tr>
      <w:tr w:rsidR="0060283D" w:rsidRPr="002559F2" w14:paraId="18E3C119" w14:textId="77777777" w:rsidTr="00E0255D">
        <w:tc>
          <w:tcPr>
            <w:tcW w:w="3828" w:type="dxa"/>
            <w:gridSpan w:val="3"/>
          </w:tcPr>
          <w:p w14:paraId="2201EA9F" w14:textId="67BBE6E9" w:rsidR="0060283D" w:rsidRPr="002559F2" w:rsidRDefault="0060283D" w:rsidP="0060283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2.3 Titularul activităților de seminar</w:t>
            </w:r>
          </w:p>
        </w:tc>
        <w:tc>
          <w:tcPr>
            <w:tcW w:w="5561" w:type="dxa"/>
            <w:gridSpan w:val="6"/>
          </w:tcPr>
          <w:p w14:paraId="3E929826" w14:textId="3EE71CAA" w:rsidR="0060283D" w:rsidRPr="00AC0158" w:rsidRDefault="0060283D" w:rsidP="0060283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AC0158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Conf. univ. dr. Ramona Paloș</w:t>
            </w:r>
          </w:p>
        </w:tc>
      </w:tr>
      <w:tr w:rsidR="00E0255D" w:rsidRPr="002559F2" w14:paraId="2D85BC83" w14:textId="77777777" w:rsidTr="00D644D2">
        <w:tc>
          <w:tcPr>
            <w:tcW w:w="1843" w:type="dxa"/>
          </w:tcPr>
          <w:p w14:paraId="7473A702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4A64DCFD" w:rsidR="00E0255D" w:rsidRPr="002559F2" w:rsidRDefault="0060283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447" w:type="dxa"/>
            <w:gridSpan w:val="2"/>
          </w:tcPr>
          <w:p w14:paraId="50554F01" w14:textId="77777777" w:rsidR="00E0255D" w:rsidRPr="002559F2" w:rsidRDefault="00E0255D" w:rsidP="00080D22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425" w:type="dxa"/>
          </w:tcPr>
          <w:p w14:paraId="73C4B0BA" w14:textId="1A7EC302" w:rsidR="00E0255D" w:rsidRPr="002559F2" w:rsidRDefault="0060283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047" w:type="dxa"/>
          </w:tcPr>
          <w:p w14:paraId="5BBCC7D4" w14:textId="427A378A" w:rsidR="00E0255D" w:rsidRPr="002559F2" w:rsidRDefault="00C4385C" w:rsidP="00080D22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 xml:space="preserve"> </w:t>
            </w:r>
            <w:r w:rsidR="00E0255D" w:rsidRPr="002559F2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363" w:type="dxa"/>
          </w:tcPr>
          <w:p w14:paraId="744AFE62" w14:textId="0C0BE930" w:rsidR="00E0255D" w:rsidRPr="002559F2" w:rsidRDefault="0060283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067" w:type="dxa"/>
          </w:tcPr>
          <w:p w14:paraId="7C0DE4CB" w14:textId="77777777" w:rsidR="00E0255D" w:rsidRPr="002559F2" w:rsidRDefault="00E0255D" w:rsidP="00080D22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7ED12E75" w:rsidR="00E0255D" w:rsidRPr="002559F2" w:rsidRDefault="0060283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14:paraId="7E9DBA76" w14:textId="77777777" w:rsidR="00E0255D" w:rsidRPr="002559F2" w:rsidRDefault="00E0255D" w:rsidP="00E0255D">
      <w:pPr>
        <w:rPr>
          <w:sz w:val="22"/>
          <w:szCs w:val="22"/>
        </w:rPr>
      </w:pPr>
    </w:p>
    <w:p w14:paraId="04074F03" w14:textId="5D425307" w:rsidR="00E0255D" w:rsidRPr="002559F2" w:rsidRDefault="00E0255D" w:rsidP="00D644D2">
      <w:pPr>
        <w:pStyle w:val="ListParagraph"/>
        <w:numPr>
          <w:ilvl w:val="0"/>
          <w:numId w:val="26"/>
        </w:numPr>
        <w:spacing w:line="276" w:lineRule="auto"/>
        <w:ind w:left="284" w:hanging="284"/>
        <w:rPr>
          <w:b/>
          <w:sz w:val="22"/>
          <w:szCs w:val="22"/>
        </w:rPr>
      </w:pPr>
      <w:r w:rsidRPr="002559F2">
        <w:rPr>
          <w:b/>
          <w:sz w:val="22"/>
          <w:szCs w:val="22"/>
        </w:rPr>
        <w:t>Timpul total estimat (ore pe semestru al activită</w:t>
      </w:r>
      <w:r w:rsidR="00C4385C" w:rsidRPr="002559F2">
        <w:rPr>
          <w:b/>
          <w:sz w:val="22"/>
          <w:szCs w:val="22"/>
        </w:rPr>
        <w:t>ț</w:t>
      </w:r>
      <w:r w:rsidRPr="002559F2">
        <w:rPr>
          <w:b/>
          <w:sz w:val="22"/>
          <w:szCs w:val="22"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9"/>
        <w:gridCol w:w="436"/>
        <w:gridCol w:w="295"/>
        <w:gridCol w:w="1683"/>
        <w:gridCol w:w="436"/>
        <w:gridCol w:w="2312"/>
        <w:gridCol w:w="524"/>
      </w:tblGrid>
      <w:tr w:rsidR="00E0255D" w:rsidRPr="002559F2" w14:paraId="5B1575BC" w14:textId="77777777" w:rsidTr="00802D13">
        <w:tc>
          <w:tcPr>
            <w:tcW w:w="3681" w:type="dxa"/>
          </w:tcPr>
          <w:p w14:paraId="276EC93C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25C2AA05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38014939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2462ED85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E0255D" w:rsidRPr="002559F2" w14:paraId="1D8AE468" w14:textId="77777777" w:rsidTr="00802D13">
        <w:tc>
          <w:tcPr>
            <w:tcW w:w="3681" w:type="dxa"/>
          </w:tcPr>
          <w:p w14:paraId="61528410" w14:textId="5D90CB72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3.4 Total ore din planul de învă</w:t>
            </w:r>
            <w:r w:rsidR="00C4385C" w:rsidRPr="002559F2">
              <w:rPr>
                <w:rFonts w:ascii="Times New Roman" w:hAnsi="Times New Roman"/>
                <w:lang w:val="ro-RO"/>
              </w:rPr>
              <w:t>ț</w:t>
            </w:r>
            <w:r w:rsidRPr="002559F2">
              <w:rPr>
                <w:rFonts w:ascii="Times New Roman" w:hAnsi="Times New Roman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3DF23400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17D8FB8F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315" w:type="dxa"/>
          </w:tcPr>
          <w:p w14:paraId="77313924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36B65B8A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E0255D" w:rsidRPr="002559F2" w14:paraId="6C80A98D" w14:textId="77777777" w:rsidTr="00802D13">
        <w:tc>
          <w:tcPr>
            <w:tcW w:w="8831" w:type="dxa"/>
            <w:gridSpan w:val="6"/>
          </w:tcPr>
          <w:p w14:paraId="74693E4C" w14:textId="4889A649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2559F2">
              <w:rPr>
                <w:rFonts w:ascii="Times New Roman" w:hAnsi="Times New Roman"/>
                <w:bCs/>
                <w:lang w:val="ro-RO"/>
              </w:rPr>
              <w:t>Distribu</w:t>
            </w:r>
            <w:r w:rsidR="00C4385C" w:rsidRPr="002559F2">
              <w:rPr>
                <w:rFonts w:ascii="Times New Roman" w:hAnsi="Times New Roman"/>
                <w:bCs/>
                <w:lang w:val="ro-RO"/>
              </w:rPr>
              <w:t>ț</w:t>
            </w:r>
            <w:r w:rsidRPr="002559F2">
              <w:rPr>
                <w:rFonts w:ascii="Times New Roman" w:hAnsi="Times New Roman"/>
                <w:bCs/>
                <w:lang w:val="ro-RO"/>
              </w:rPr>
              <w:t>ia fondului de timp:</w:t>
            </w:r>
            <w:r w:rsidR="00392651">
              <w:rPr>
                <w:rFonts w:ascii="Times New Roman" w:hAnsi="Times New Roman"/>
                <w:bCs/>
                <w:lang w:val="ro-RO"/>
              </w:rPr>
              <w:t xml:space="preserve"> 108</w:t>
            </w:r>
          </w:p>
        </w:tc>
        <w:tc>
          <w:tcPr>
            <w:tcW w:w="524" w:type="dxa"/>
          </w:tcPr>
          <w:p w14:paraId="0487E59F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2559F2">
              <w:rPr>
                <w:rFonts w:ascii="Times New Roman" w:hAnsi="Times New Roman"/>
                <w:bCs/>
                <w:lang w:val="ro-RO"/>
              </w:rPr>
              <w:t>ore</w:t>
            </w:r>
          </w:p>
        </w:tc>
      </w:tr>
      <w:tr w:rsidR="00E0255D" w:rsidRPr="002559F2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 xml:space="preserve">Studiul după manual, suport de curs, bibliografie </w:t>
            </w:r>
            <w:r w:rsidR="00C4385C" w:rsidRPr="002559F2">
              <w:rPr>
                <w:rFonts w:ascii="Times New Roman" w:hAnsi="Times New Roman"/>
                <w:lang w:val="ro-RO"/>
              </w:rPr>
              <w:t>ș</w:t>
            </w:r>
            <w:r w:rsidRPr="002559F2">
              <w:rPr>
                <w:rFonts w:ascii="Times New Roman" w:hAnsi="Times New Roman"/>
                <w:lang w:val="ro-RO"/>
              </w:rPr>
              <w:t>i noti</w:t>
            </w:r>
            <w:r w:rsidR="00C4385C" w:rsidRPr="002559F2">
              <w:rPr>
                <w:rFonts w:ascii="Times New Roman" w:hAnsi="Times New Roman"/>
                <w:lang w:val="ro-RO"/>
              </w:rPr>
              <w:t>ț</w:t>
            </w:r>
            <w:r w:rsidRPr="002559F2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68313508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E0255D" w:rsidRPr="002559F2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3641E25B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35</w:t>
            </w:r>
          </w:p>
        </w:tc>
      </w:tr>
      <w:tr w:rsidR="00E0255D" w:rsidRPr="002559F2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Pregătire seminar</w:t>
            </w:r>
            <w:r w:rsidR="00C4385C" w:rsidRPr="002559F2">
              <w:rPr>
                <w:rFonts w:ascii="Times New Roman" w:hAnsi="Times New Roman"/>
                <w:lang w:val="ro-RO"/>
              </w:rPr>
              <w:t>e</w:t>
            </w:r>
            <w:r w:rsidRPr="002559F2">
              <w:rPr>
                <w:rFonts w:ascii="Times New Roman" w:hAnsi="Times New Roman"/>
                <w:lang w:val="ro-RO"/>
              </w:rPr>
              <w:t xml:space="preserve"> / laboratoare, teme, referate, portofolii </w:t>
            </w:r>
            <w:r w:rsidR="00C4385C" w:rsidRPr="002559F2">
              <w:rPr>
                <w:rFonts w:ascii="Times New Roman" w:hAnsi="Times New Roman"/>
                <w:lang w:val="ro-RO"/>
              </w:rPr>
              <w:t>ș</w:t>
            </w:r>
            <w:r w:rsidRPr="002559F2">
              <w:rPr>
                <w:rFonts w:ascii="Times New Roman" w:hAnsi="Times New Roman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3DD92695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25</w:t>
            </w:r>
          </w:p>
        </w:tc>
      </w:tr>
      <w:tr w:rsidR="00E0255D" w:rsidRPr="002559F2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670C6F1B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E0255D" w:rsidRPr="002559F2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630F3F50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E0255D" w:rsidRPr="002559F2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Alte activită</w:t>
            </w:r>
            <w:r w:rsidR="00C4385C" w:rsidRPr="002559F2">
              <w:rPr>
                <w:rFonts w:ascii="Times New Roman" w:hAnsi="Times New Roman"/>
                <w:lang w:val="ro-RO"/>
              </w:rPr>
              <w:t>ț</w:t>
            </w:r>
            <w:r w:rsidRPr="002559F2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5AFCDE77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E0255D" w:rsidRPr="002559F2" w14:paraId="601F6F7A" w14:textId="77777777" w:rsidTr="00F73144">
        <w:trPr>
          <w:gridAfter w:val="4"/>
          <w:wAfter w:w="4953" w:type="dxa"/>
        </w:trPr>
        <w:tc>
          <w:tcPr>
            <w:tcW w:w="3681" w:type="dxa"/>
            <w:shd w:val="clear" w:color="auto" w:fill="EEECE1" w:themeFill="background2"/>
          </w:tcPr>
          <w:p w14:paraId="479894EA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2559F2">
              <w:rPr>
                <w:rFonts w:ascii="Times New Roman" w:hAnsi="Times New Roman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  <w:shd w:val="clear" w:color="auto" w:fill="EEECE1" w:themeFill="background2"/>
          </w:tcPr>
          <w:p w14:paraId="4395AD20" w14:textId="76B071CC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108</w:t>
            </w:r>
          </w:p>
        </w:tc>
      </w:tr>
      <w:tr w:rsidR="00E0255D" w:rsidRPr="002559F2" w14:paraId="0E0E0360" w14:textId="77777777" w:rsidTr="00F73144">
        <w:trPr>
          <w:gridAfter w:val="4"/>
          <w:wAfter w:w="4953" w:type="dxa"/>
        </w:trPr>
        <w:tc>
          <w:tcPr>
            <w:tcW w:w="3681" w:type="dxa"/>
            <w:shd w:val="clear" w:color="auto" w:fill="EEECE1" w:themeFill="background2"/>
          </w:tcPr>
          <w:p w14:paraId="310486C5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2559F2">
              <w:rPr>
                <w:rFonts w:ascii="Times New Roman" w:hAnsi="Times New Roman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  <w:shd w:val="clear" w:color="auto" w:fill="EEECE1" w:themeFill="background2"/>
          </w:tcPr>
          <w:p w14:paraId="15B2F92D" w14:textId="38837967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150</w:t>
            </w:r>
          </w:p>
        </w:tc>
      </w:tr>
      <w:tr w:rsidR="00E0255D" w:rsidRPr="002559F2" w14:paraId="0543F2FB" w14:textId="77777777" w:rsidTr="00F73144">
        <w:trPr>
          <w:gridAfter w:val="4"/>
          <w:wAfter w:w="4953" w:type="dxa"/>
        </w:trPr>
        <w:tc>
          <w:tcPr>
            <w:tcW w:w="3681" w:type="dxa"/>
            <w:shd w:val="clear" w:color="auto" w:fill="EEECE1" w:themeFill="background2"/>
          </w:tcPr>
          <w:p w14:paraId="4AA42D0D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2559F2">
              <w:rPr>
                <w:rFonts w:ascii="Times New Roman" w:hAnsi="Times New Roman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  <w:shd w:val="clear" w:color="auto" w:fill="EEECE1" w:themeFill="background2"/>
          </w:tcPr>
          <w:p w14:paraId="176127E3" w14:textId="26D52635" w:rsidR="00E0255D" w:rsidRPr="002559F2" w:rsidRDefault="00392651" w:rsidP="00080D2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</w:tbl>
    <w:p w14:paraId="2AFF86C3" w14:textId="77777777" w:rsidR="00C4385C" w:rsidRPr="002559F2" w:rsidRDefault="00C4385C" w:rsidP="00C4385C">
      <w:pPr>
        <w:pStyle w:val="ListParagraph"/>
        <w:spacing w:line="276" w:lineRule="auto"/>
        <w:ind w:left="714"/>
        <w:rPr>
          <w:b/>
          <w:sz w:val="22"/>
          <w:szCs w:val="22"/>
        </w:rPr>
      </w:pPr>
    </w:p>
    <w:p w14:paraId="1ACD2D8D" w14:textId="30F46626" w:rsidR="00E0255D" w:rsidRPr="002559F2" w:rsidRDefault="00E0255D" w:rsidP="004C096A">
      <w:pPr>
        <w:pStyle w:val="ListParagraph"/>
        <w:numPr>
          <w:ilvl w:val="0"/>
          <w:numId w:val="26"/>
        </w:numPr>
        <w:spacing w:line="276" w:lineRule="auto"/>
        <w:ind w:left="284" w:hanging="284"/>
        <w:rPr>
          <w:b/>
          <w:sz w:val="22"/>
          <w:szCs w:val="22"/>
        </w:rPr>
      </w:pPr>
      <w:r w:rsidRPr="002559F2">
        <w:rPr>
          <w:b/>
          <w:sz w:val="22"/>
          <w:szCs w:val="22"/>
        </w:rPr>
        <w:t>Precondi</w:t>
      </w:r>
      <w:r w:rsidR="00C4385C" w:rsidRPr="002559F2">
        <w:rPr>
          <w:b/>
          <w:sz w:val="22"/>
          <w:szCs w:val="22"/>
        </w:rPr>
        <w:t>ț</w:t>
      </w:r>
      <w:r w:rsidRPr="002559F2">
        <w:rPr>
          <w:b/>
          <w:sz w:val="22"/>
          <w:szCs w:val="22"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2559F2" w14:paraId="3623956B" w14:textId="77777777" w:rsidTr="00F73144">
        <w:tc>
          <w:tcPr>
            <w:tcW w:w="1985" w:type="dxa"/>
            <w:shd w:val="clear" w:color="auto" w:fill="EEECE1" w:themeFill="background2"/>
          </w:tcPr>
          <w:p w14:paraId="4C592DB3" w14:textId="7777777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5D0F3341" w:rsidR="00E0255D" w:rsidRPr="002559F2" w:rsidRDefault="004C096A" w:rsidP="004C096A">
            <w:pPr>
              <w:pStyle w:val="NoSpacing"/>
              <w:numPr>
                <w:ilvl w:val="0"/>
                <w:numId w:val="28"/>
              </w:numPr>
              <w:spacing w:line="276" w:lineRule="auto"/>
              <w:ind w:left="345" w:hanging="311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  <w:r w:rsidR="008D6EC5" w:rsidRPr="00882E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ursuri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anterioare </w:t>
            </w:r>
            <w:r w:rsidR="008D6EC5" w:rsidRPr="00882E3F">
              <w:rPr>
                <w:rFonts w:ascii="Times New Roman" w:hAnsi="Times New Roman"/>
                <w:sz w:val="20"/>
                <w:szCs w:val="20"/>
                <w:lang w:val="ro-RO"/>
              </w:rPr>
              <w:t>care abordează aspecte legate de psihologia muncii și organizațională, managementul resurselor umane, administrarea capitalului uman;</w:t>
            </w:r>
          </w:p>
        </w:tc>
      </w:tr>
      <w:tr w:rsidR="00E0255D" w:rsidRPr="002559F2" w14:paraId="0C24B7B9" w14:textId="77777777" w:rsidTr="00F73144">
        <w:tc>
          <w:tcPr>
            <w:tcW w:w="1985" w:type="dxa"/>
            <w:shd w:val="clear" w:color="auto" w:fill="EEECE1" w:themeFill="background2"/>
          </w:tcPr>
          <w:p w14:paraId="0E27F819" w14:textId="140AA507" w:rsidR="00E0255D" w:rsidRPr="002559F2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4.2 de competen</w:t>
            </w:r>
            <w:r w:rsidR="00C4385C" w:rsidRPr="002559F2">
              <w:rPr>
                <w:rFonts w:ascii="Times New Roman" w:hAnsi="Times New Roman"/>
                <w:lang w:val="ro-RO"/>
              </w:rPr>
              <w:t>ț</w:t>
            </w:r>
            <w:r w:rsidRPr="002559F2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43FC48D7" w:rsidR="00E0255D" w:rsidRPr="002559F2" w:rsidRDefault="0085137D" w:rsidP="0085137D">
            <w:pPr>
              <w:pStyle w:val="NoSpacing"/>
              <w:numPr>
                <w:ilvl w:val="0"/>
                <w:numId w:val="28"/>
              </w:numPr>
              <w:spacing w:line="276" w:lineRule="auto"/>
              <w:ind w:left="345" w:hanging="311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</w:t>
            </w:r>
            <w:r w:rsidR="008D6EC5" w:rsidRPr="00882E3F">
              <w:rPr>
                <w:rFonts w:ascii="Times New Roman" w:hAnsi="Times New Roman"/>
                <w:sz w:val="20"/>
                <w:szCs w:val="20"/>
                <w:lang w:val="ro-RO"/>
              </w:rPr>
              <w:t>e diagnoză a nevoilor de formare la nivel de organizație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</w:tbl>
    <w:p w14:paraId="24BAE51E" w14:textId="77777777" w:rsidR="00C4385C" w:rsidRPr="002559F2" w:rsidRDefault="00C4385C" w:rsidP="00C4385C">
      <w:pPr>
        <w:pStyle w:val="ListParagraph"/>
        <w:spacing w:line="276" w:lineRule="auto"/>
        <w:ind w:left="714"/>
        <w:rPr>
          <w:b/>
          <w:sz w:val="22"/>
          <w:szCs w:val="22"/>
        </w:rPr>
      </w:pPr>
    </w:p>
    <w:p w14:paraId="77A8EEB9" w14:textId="2BBDA049" w:rsidR="00E0255D" w:rsidRPr="002559F2" w:rsidRDefault="00E0255D" w:rsidP="00F82A45">
      <w:pPr>
        <w:pStyle w:val="ListParagraph"/>
        <w:numPr>
          <w:ilvl w:val="0"/>
          <w:numId w:val="26"/>
        </w:numPr>
        <w:spacing w:line="276" w:lineRule="auto"/>
        <w:ind w:left="284" w:hanging="284"/>
        <w:rPr>
          <w:b/>
          <w:sz w:val="22"/>
          <w:szCs w:val="22"/>
        </w:rPr>
      </w:pPr>
      <w:r w:rsidRPr="002559F2">
        <w:rPr>
          <w:b/>
          <w:sz w:val="22"/>
          <w:szCs w:val="22"/>
        </w:rPr>
        <w:t>Condi</w:t>
      </w:r>
      <w:r w:rsidR="00C4385C" w:rsidRPr="002559F2">
        <w:rPr>
          <w:b/>
          <w:sz w:val="22"/>
          <w:szCs w:val="22"/>
        </w:rPr>
        <w:t>ț</w:t>
      </w:r>
      <w:r w:rsidRPr="002559F2">
        <w:rPr>
          <w:b/>
          <w:sz w:val="22"/>
          <w:szCs w:val="22"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4"/>
        <w:gridCol w:w="6525"/>
      </w:tblGrid>
      <w:tr w:rsidR="00F12133" w:rsidRPr="002559F2" w14:paraId="2C5D8739" w14:textId="77777777" w:rsidTr="00F73144">
        <w:tc>
          <w:tcPr>
            <w:tcW w:w="2864" w:type="dxa"/>
            <w:shd w:val="clear" w:color="auto" w:fill="EEECE1" w:themeFill="background2"/>
          </w:tcPr>
          <w:p w14:paraId="26DB2A17" w14:textId="7EFC29E3" w:rsidR="00F12133" w:rsidRPr="002559F2" w:rsidRDefault="00F12133" w:rsidP="0099191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>5.1 de desfășurare a cursului</w:t>
            </w:r>
          </w:p>
        </w:tc>
        <w:tc>
          <w:tcPr>
            <w:tcW w:w="6525" w:type="dxa"/>
            <w:vMerge w:val="restart"/>
          </w:tcPr>
          <w:p w14:paraId="7F6503CA" w14:textId="255DCDC4" w:rsidR="001964EE" w:rsidRPr="00E9525C" w:rsidRDefault="00F045E8" w:rsidP="00F42FC1">
            <w:pPr>
              <w:pStyle w:val="NoSpacing"/>
              <w:numPr>
                <w:ilvl w:val="0"/>
                <w:numId w:val="28"/>
              </w:numPr>
              <w:ind w:left="323" w:hanging="289"/>
              <w:jc w:val="both"/>
              <w:rPr>
                <w:rFonts w:ascii="Times New Roman" w:hAnsi="Times New Roman"/>
                <w:lang w:val="ro-RO"/>
              </w:rPr>
            </w:pPr>
            <w:r w:rsidRPr="0035033F">
              <w:rPr>
                <w:rFonts w:ascii="Times New Roman" w:hAnsi="Times New Roman"/>
                <w:sz w:val="20"/>
                <w:szCs w:val="20"/>
                <w:lang w:val="ro-RO"/>
              </w:rPr>
              <w:t>Este necesară prezența la minim 50% din numărul total al cursurilor (cel puțin 7 prezențe);</w:t>
            </w:r>
          </w:p>
          <w:p w14:paraId="767D8388" w14:textId="717041B3" w:rsidR="00F045E8" w:rsidRPr="00E9525C" w:rsidRDefault="00F045E8" w:rsidP="00F42FC1">
            <w:pPr>
              <w:pStyle w:val="NoSpacing"/>
              <w:numPr>
                <w:ilvl w:val="0"/>
                <w:numId w:val="28"/>
              </w:numPr>
              <w:ind w:left="323" w:hanging="289"/>
              <w:jc w:val="both"/>
              <w:rPr>
                <w:rFonts w:ascii="Times New Roman" w:hAnsi="Times New Roman"/>
                <w:lang w:val="ro-RO"/>
              </w:rPr>
            </w:pPr>
            <w:r w:rsidRPr="0035033F">
              <w:rPr>
                <w:rFonts w:ascii="Times New Roman" w:hAnsi="Times New Roman"/>
                <w:sz w:val="20"/>
                <w:szCs w:val="20"/>
                <w:lang w:val="ro-RO"/>
              </w:rPr>
              <w:t>Este necesară prezența la minim 70% din numărul total al seminar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 w:rsidRPr="003503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lor (cel puțin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  <w:r w:rsidRPr="003503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seminare);</w:t>
            </w:r>
          </w:p>
          <w:p w14:paraId="6ADFF241" w14:textId="067631E6" w:rsidR="00F12133" w:rsidRPr="00F42FC1" w:rsidRDefault="00F12133" w:rsidP="00F42FC1">
            <w:pPr>
              <w:pStyle w:val="NoSpacing"/>
              <w:numPr>
                <w:ilvl w:val="0"/>
                <w:numId w:val="28"/>
              </w:numPr>
              <w:ind w:left="323" w:hanging="289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</w:t>
            </w:r>
            <w:r w:rsidRPr="00FF160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entru participarea la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toate</w:t>
            </w:r>
            <w:r w:rsidRPr="00FF160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orele de curs și seminar, </w:t>
            </w:r>
            <w:r w:rsidRPr="00FB3E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 acordă un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1p </w:t>
            </w:r>
            <w:r w:rsidR="00994B1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bonus </w:t>
            </w:r>
            <w:r w:rsidRPr="00815CEA">
              <w:rPr>
                <w:rFonts w:ascii="Times New Roman" w:hAnsi="Times New Roman"/>
                <w:sz w:val="20"/>
                <w:szCs w:val="20"/>
                <w:lang w:val="ro-RO"/>
              </w:rPr>
              <w:t>la nota finală</w:t>
            </w:r>
            <w:r w:rsidR="001964E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(după promovarea disciplinei)</w:t>
            </w:r>
            <w:r w:rsidRPr="0035033F">
              <w:rPr>
                <w:rFonts w:ascii="Times New Roman" w:hAnsi="Times New Roman"/>
                <w:sz w:val="20"/>
                <w:szCs w:val="20"/>
                <w:lang w:val="ro-RO"/>
              </w:rPr>
              <w:t>;</w:t>
            </w:r>
          </w:p>
        </w:tc>
      </w:tr>
      <w:tr w:rsidR="00F12133" w:rsidRPr="002559F2" w14:paraId="12F774A5" w14:textId="77777777" w:rsidTr="00F73144">
        <w:tc>
          <w:tcPr>
            <w:tcW w:w="2864" w:type="dxa"/>
            <w:shd w:val="clear" w:color="auto" w:fill="EEECE1" w:themeFill="background2"/>
          </w:tcPr>
          <w:p w14:paraId="7D3A976E" w14:textId="4F130D88" w:rsidR="00F12133" w:rsidRPr="002559F2" w:rsidRDefault="00F12133" w:rsidP="0099191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59F2">
              <w:rPr>
                <w:rFonts w:ascii="Times New Roman" w:hAnsi="Times New Roman"/>
                <w:lang w:val="ro-RO"/>
              </w:rPr>
              <w:t xml:space="preserve">5.2 de desfășurare a seminarului </w:t>
            </w:r>
          </w:p>
        </w:tc>
        <w:tc>
          <w:tcPr>
            <w:tcW w:w="6525" w:type="dxa"/>
            <w:vMerge/>
          </w:tcPr>
          <w:p w14:paraId="4BD0591C" w14:textId="04C96127" w:rsidR="00F12133" w:rsidRPr="002559F2" w:rsidRDefault="00F12133">
            <w:pPr>
              <w:pStyle w:val="NoSpacing"/>
              <w:numPr>
                <w:ilvl w:val="0"/>
                <w:numId w:val="28"/>
              </w:numPr>
              <w:ind w:left="323" w:hanging="289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14:paraId="3E28F80F" w14:textId="78D42C13" w:rsidR="00E0255D" w:rsidRPr="002559F2" w:rsidRDefault="00C94D71" w:rsidP="00991910">
      <w:pPr>
        <w:pStyle w:val="ListParagraph"/>
        <w:numPr>
          <w:ilvl w:val="0"/>
          <w:numId w:val="26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2559F2">
        <w:rPr>
          <w:b/>
          <w:sz w:val="22"/>
          <w:szCs w:val="22"/>
        </w:rPr>
        <w:lastRenderedPageBreak/>
        <w:t xml:space="preserve">Obiectivele disciplinei </w:t>
      </w:r>
      <w:r w:rsidR="00E6214F">
        <w:rPr>
          <w:b/>
          <w:sz w:val="22"/>
          <w:szCs w:val="22"/>
        </w:rPr>
        <w:t>–</w:t>
      </w:r>
      <w:r w:rsidRPr="002559F2">
        <w:rPr>
          <w:b/>
          <w:sz w:val="22"/>
          <w:szCs w:val="22"/>
        </w:rPr>
        <w:t xml:space="preserve"> rezultate</w:t>
      </w:r>
      <w:r w:rsidR="00E6214F">
        <w:rPr>
          <w:b/>
          <w:sz w:val="22"/>
          <w:szCs w:val="22"/>
        </w:rPr>
        <w:t xml:space="preserve"> </w:t>
      </w:r>
      <w:r w:rsidRPr="002559F2">
        <w:rPr>
          <w:b/>
          <w:sz w:val="22"/>
          <w:szCs w:val="22"/>
        </w:rPr>
        <w:t>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8"/>
        <w:gridCol w:w="7851"/>
      </w:tblGrid>
      <w:tr w:rsidR="00E0255D" w:rsidRPr="002559F2" w14:paraId="76694619" w14:textId="77777777" w:rsidTr="005637E2">
        <w:trPr>
          <w:cantSplit/>
          <w:trHeight w:val="890"/>
        </w:trPr>
        <w:tc>
          <w:tcPr>
            <w:tcW w:w="993" w:type="dxa"/>
            <w:shd w:val="clear" w:color="auto" w:fill="DDD9C3" w:themeFill="background2" w:themeFillShade="E6"/>
            <w:vAlign w:val="center"/>
          </w:tcPr>
          <w:p w14:paraId="44C132C9" w14:textId="30F06B5E" w:rsidR="00E0255D" w:rsidRPr="00E6214F" w:rsidRDefault="00C94D71" w:rsidP="00C94D7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6214F">
              <w:rPr>
                <w:rFonts w:ascii="Times New Roman" w:hAnsi="Times New Roman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6D6F8732" w14:textId="1A6FFC65" w:rsidR="00B314A6" w:rsidRPr="00E9525C" w:rsidRDefault="00AF42BD" w:rsidP="00AF42BD">
            <w:pPr>
              <w:pStyle w:val="ListParagraph"/>
              <w:numPr>
                <w:ilvl w:val="0"/>
                <w:numId w:val="37"/>
              </w:numPr>
              <w:ind w:left="379" w:hanging="284"/>
              <w:jc w:val="both"/>
              <w:rPr>
                <w:lang w:val="fr-FR" w:eastAsia="en-US"/>
              </w:rPr>
            </w:pPr>
            <w:r w:rsidRPr="00AF42BD">
              <w:rPr>
                <w:rStyle w:val="fontstyle01"/>
                <w:rFonts w:ascii="Times New Roman" w:hAnsi="Times New Roman"/>
              </w:rPr>
              <w:t>C</w:t>
            </w:r>
            <w:r w:rsidR="00B314A6" w:rsidRPr="00AF42BD">
              <w:rPr>
                <w:rStyle w:val="fontstyle01"/>
                <w:rFonts w:ascii="Times New Roman" w:hAnsi="Times New Roman"/>
              </w:rPr>
              <w:t>apacitatea de a înţelege şi descrie principalele concepte,</w:t>
            </w:r>
            <w:r w:rsidRPr="00AF42BD">
              <w:rPr>
                <w:rStyle w:val="fontstyle01"/>
                <w:rFonts w:ascii="Times New Roman" w:hAnsi="Times New Roman"/>
              </w:rPr>
              <w:t xml:space="preserve"> </w:t>
            </w:r>
            <w:r w:rsidR="00B314A6" w:rsidRPr="00AF42BD">
              <w:rPr>
                <w:rStyle w:val="fontstyle01"/>
                <w:rFonts w:ascii="Times New Roman" w:hAnsi="Times New Roman"/>
              </w:rPr>
              <w:t>paradigme şi metodologii utilizate în cercetarea PMOT</w:t>
            </w:r>
            <w:r w:rsidRPr="00AF42BD">
              <w:rPr>
                <w:rStyle w:val="fontstyle01"/>
                <w:rFonts w:ascii="Times New Roman" w:hAnsi="Times New Roman"/>
              </w:rPr>
              <w:t>;</w:t>
            </w:r>
          </w:p>
          <w:p w14:paraId="489E27CA" w14:textId="0A630BAB" w:rsidR="00E0255D" w:rsidRPr="00E9525C" w:rsidRDefault="00AF42BD" w:rsidP="00AF42BD">
            <w:pPr>
              <w:pStyle w:val="ListParagraph"/>
              <w:numPr>
                <w:ilvl w:val="0"/>
                <w:numId w:val="37"/>
              </w:numPr>
              <w:ind w:left="379" w:hanging="284"/>
              <w:jc w:val="both"/>
              <w:rPr>
                <w:lang w:val="fr-FR" w:eastAsia="en-US"/>
              </w:rPr>
            </w:pPr>
            <w:r w:rsidRPr="00AF42BD">
              <w:rPr>
                <w:rStyle w:val="fontstyle01"/>
                <w:rFonts w:ascii="Times New Roman" w:hAnsi="Times New Roman"/>
              </w:rPr>
              <w:t>C</w:t>
            </w:r>
            <w:r w:rsidR="00B314A6" w:rsidRPr="00AF42BD">
              <w:rPr>
                <w:rStyle w:val="fontstyle01"/>
                <w:rFonts w:ascii="Times New Roman" w:hAnsi="Times New Roman"/>
              </w:rPr>
              <w:t>apacitatea de adaptare a terminologiei şi a strategiilor de</w:t>
            </w:r>
            <w:r w:rsidRPr="00AF42BD">
              <w:rPr>
                <w:rStyle w:val="fontstyle01"/>
                <w:rFonts w:ascii="Times New Roman" w:hAnsi="Times New Roman"/>
              </w:rPr>
              <w:t xml:space="preserve"> </w:t>
            </w:r>
            <w:r w:rsidR="00B314A6" w:rsidRPr="00AF42BD">
              <w:rPr>
                <w:rStyle w:val="fontstyle01"/>
                <w:rFonts w:ascii="Times New Roman" w:hAnsi="Times New Roman"/>
              </w:rPr>
              <w:t>comunicare în funcţie de categoriile socio-profesionale vizate</w:t>
            </w:r>
            <w:r w:rsidRPr="00AF42BD">
              <w:rPr>
                <w:rStyle w:val="fontstyle01"/>
                <w:rFonts w:ascii="Times New Roman" w:hAnsi="Times New Roman"/>
              </w:rPr>
              <w:t>;</w:t>
            </w:r>
          </w:p>
        </w:tc>
      </w:tr>
      <w:tr w:rsidR="00E0255D" w:rsidRPr="002559F2" w14:paraId="5C767D8B" w14:textId="77777777" w:rsidTr="005637E2">
        <w:trPr>
          <w:cantSplit/>
          <w:trHeight w:val="831"/>
        </w:trPr>
        <w:tc>
          <w:tcPr>
            <w:tcW w:w="993" w:type="dxa"/>
            <w:shd w:val="clear" w:color="auto" w:fill="DDD9C3" w:themeFill="background2" w:themeFillShade="E6"/>
            <w:vAlign w:val="center"/>
          </w:tcPr>
          <w:p w14:paraId="3FB3257E" w14:textId="3557E77D" w:rsidR="00E0255D" w:rsidRPr="00E6214F" w:rsidRDefault="00C94D71" w:rsidP="00C94D7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6214F">
              <w:rPr>
                <w:rFonts w:ascii="Times New Roman" w:hAnsi="Times New Roman"/>
                <w:sz w:val="20"/>
                <w:szCs w:val="20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72858C87" w14:textId="43439F60" w:rsidR="00B314A6" w:rsidRPr="00E9525C" w:rsidRDefault="00B314A6" w:rsidP="00AF42BD">
            <w:pPr>
              <w:pStyle w:val="ListParagraph"/>
              <w:numPr>
                <w:ilvl w:val="0"/>
                <w:numId w:val="38"/>
              </w:numPr>
              <w:ind w:left="379" w:hanging="284"/>
              <w:jc w:val="both"/>
              <w:rPr>
                <w:sz w:val="20"/>
                <w:szCs w:val="20"/>
                <w:lang w:eastAsia="en-US"/>
              </w:rPr>
            </w:pPr>
            <w:r w:rsidRPr="00AF42BD">
              <w:rPr>
                <w:rStyle w:val="fontstyle01"/>
                <w:rFonts w:ascii="Times New Roman" w:hAnsi="Times New Roman"/>
              </w:rPr>
              <w:t>Capacitatea formulării de ipoteze şi operaţionalizării conceptelor</w:t>
            </w:r>
            <w:r w:rsidR="00AF42BD" w:rsidRPr="00AF42BD">
              <w:rPr>
                <w:rStyle w:val="fontstyle01"/>
                <w:rFonts w:ascii="Times New Roman" w:hAnsi="Times New Roman"/>
              </w:rPr>
              <w:t xml:space="preserve"> </w:t>
            </w:r>
            <w:r w:rsidRPr="00AF42BD">
              <w:rPr>
                <w:rStyle w:val="fontstyle01"/>
                <w:rFonts w:ascii="Times New Roman" w:hAnsi="Times New Roman"/>
              </w:rPr>
              <w:t>cheie pentru explicarea şi interpretarea fenomenelor din</w:t>
            </w:r>
            <w:r w:rsidR="00AF42BD" w:rsidRPr="00AF42BD">
              <w:rPr>
                <w:rStyle w:val="fontstyle01"/>
                <w:rFonts w:ascii="Times New Roman" w:hAnsi="Times New Roman"/>
              </w:rPr>
              <w:t xml:space="preserve"> </w:t>
            </w:r>
            <w:r w:rsidRPr="00AF42BD">
              <w:rPr>
                <w:rStyle w:val="fontstyle01"/>
                <w:rFonts w:ascii="Times New Roman" w:hAnsi="Times New Roman"/>
              </w:rPr>
              <w:t>domeniului PMOT</w:t>
            </w:r>
            <w:r w:rsidR="00AF42BD" w:rsidRPr="00AF42BD">
              <w:rPr>
                <w:rStyle w:val="fontstyle01"/>
                <w:rFonts w:ascii="Times New Roman" w:hAnsi="Times New Roman"/>
              </w:rPr>
              <w:t>;</w:t>
            </w:r>
          </w:p>
          <w:p w14:paraId="7CAC18B8" w14:textId="64A4D071" w:rsidR="00B314A6" w:rsidRPr="00E9525C" w:rsidRDefault="00B314A6" w:rsidP="00AF42BD">
            <w:pPr>
              <w:pStyle w:val="ListParagraph"/>
              <w:numPr>
                <w:ilvl w:val="0"/>
                <w:numId w:val="38"/>
              </w:numPr>
              <w:ind w:left="379" w:hanging="284"/>
              <w:jc w:val="both"/>
              <w:rPr>
                <w:sz w:val="20"/>
                <w:szCs w:val="20"/>
                <w:lang w:val="fr-FR" w:eastAsia="en-US"/>
              </w:rPr>
            </w:pPr>
            <w:r w:rsidRPr="00AF42BD">
              <w:rPr>
                <w:rStyle w:val="fontstyle01"/>
                <w:rFonts w:ascii="Times New Roman" w:hAnsi="Times New Roman"/>
              </w:rPr>
              <w:t>Capacitatea de analiză şi interpretare a datelor empirice, de</w:t>
            </w:r>
            <w:r w:rsidR="00AF42BD">
              <w:rPr>
                <w:rStyle w:val="fontstyle01"/>
                <w:rFonts w:ascii="Times New Roman" w:hAnsi="Times New Roman"/>
              </w:rPr>
              <w:t xml:space="preserve"> </w:t>
            </w:r>
            <w:r w:rsidRPr="00AF42BD">
              <w:rPr>
                <w:rStyle w:val="fontstyle01"/>
                <w:rFonts w:ascii="Times New Roman" w:hAnsi="Times New Roman"/>
              </w:rPr>
              <w:t>evaluare critică şi constructivă a propriului demers de cercetare si</w:t>
            </w:r>
            <w:r w:rsidR="00AF42BD">
              <w:rPr>
                <w:rStyle w:val="fontstyle01"/>
                <w:rFonts w:ascii="Times New Roman" w:hAnsi="Times New Roman"/>
              </w:rPr>
              <w:t xml:space="preserve"> </w:t>
            </w:r>
            <w:r w:rsidRPr="00AF42BD">
              <w:rPr>
                <w:rStyle w:val="fontstyle01"/>
                <w:rFonts w:ascii="Times New Roman" w:hAnsi="Times New Roman"/>
              </w:rPr>
              <w:t>aplicativ domeniului PMOT</w:t>
            </w:r>
            <w:r w:rsidR="00B54A87">
              <w:rPr>
                <w:rStyle w:val="fontstyle01"/>
                <w:rFonts w:ascii="Times New Roman" w:hAnsi="Times New Roman"/>
              </w:rPr>
              <w:t>;</w:t>
            </w:r>
          </w:p>
          <w:p w14:paraId="074C3457" w14:textId="2051F657" w:rsidR="00B314A6" w:rsidRPr="00E9525C" w:rsidRDefault="00B314A6">
            <w:pPr>
              <w:pStyle w:val="ListParagraph"/>
              <w:numPr>
                <w:ilvl w:val="0"/>
                <w:numId w:val="38"/>
              </w:numPr>
              <w:ind w:left="379" w:hanging="284"/>
              <w:jc w:val="both"/>
              <w:rPr>
                <w:sz w:val="20"/>
                <w:szCs w:val="20"/>
                <w:lang w:val="fr-FR" w:eastAsia="en-US"/>
              </w:rPr>
            </w:pPr>
            <w:r w:rsidRPr="00274E2D">
              <w:rPr>
                <w:rStyle w:val="fontstyle01"/>
                <w:rFonts w:ascii="Times New Roman" w:hAnsi="Times New Roman"/>
              </w:rPr>
              <w:t>Capacitatea de a identifica probleme-cheie pentru</w:t>
            </w:r>
            <w:r w:rsidR="00AF42BD" w:rsidRPr="00274E2D">
              <w:rPr>
                <w:rStyle w:val="fontstyle01"/>
                <w:rFonts w:ascii="Times New Roman" w:hAnsi="Times New Roman"/>
              </w:rPr>
              <w:t xml:space="preserve"> </w:t>
            </w:r>
            <w:r w:rsidRPr="00274E2D">
              <w:rPr>
                <w:rStyle w:val="fontstyle01"/>
                <w:rFonts w:ascii="Times New Roman" w:hAnsi="Times New Roman"/>
              </w:rPr>
              <w:t>cercetarea si practica psihologică</w:t>
            </w:r>
            <w:r w:rsidR="00AF42BD" w:rsidRPr="00274E2D">
              <w:rPr>
                <w:rStyle w:val="fontstyle01"/>
                <w:rFonts w:ascii="Times New Roman" w:hAnsi="Times New Roman"/>
              </w:rPr>
              <w:t>;</w:t>
            </w:r>
          </w:p>
          <w:p w14:paraId="3B7CE0EF" w14:textId="3E11DBD1" w:rsidR="00B314A6" w:rsidRPr="00E9525C" w:rsidRDefault="00B314A6" w:rsidP="00AF42BD">
            <w:pPr>
              <w:pStyle w:val="ListParagraph"/>
              <w:numPr>
                <w:ilvl w:val="0"/>
                <w:numId w:val="38"/>
              </w:numPr>
              <w:ind w:left="379" w:hanging="284"/>
              <w:jc w:val="both"/>
              <w:rPr>
                <w:sz w:val="20"/>
                <w:szCs w:val="20"/>
                <w:lang w:val="fr-FR" w:eastAsia="en-US"/>
              </w:rPr>
            </w:pPr>
            <w:r w:rsidRPr="00AF42BD">
              <w:rPr>
                <w:rStyle w:val="fontstyle01"/>
                <w:rFonts w:ascii="Times New Roman" w:hAnsi="Times New Roman"/>
              </w:rPr>
              <w:t>Capacitatea a elabora şi proiecta măsuri de intervenţie pentru</w:t>
            </w:r>
            <w:r w:rsidR="00AF42BD">
              <w:rPr>
                <w:rStyle w:val="fontstyle01"/>
                <w:rFonts w:ascii="Times New Roman" w:hAnsi="Times New Roman"/>
              </w:rPr>
              <w:t xml:space="preserve"> </w:t>
            </w:r>
            <w:r w:rsidRPr="00AF42BD">
              <w:rPr>
                <w:rStyle w:val="fontstyle01"/>
                <w:rFonts w:ascii="Times New Roman" w:hAnsi="Times New Roman"/>
              </w:rPr>
              <w:t>rezolvarea de probleme psihologice specifice domeniului PMOT</w:t>
            </w:r>
            <w:r w:rsidR="00AF42BD">
              <w:rPr>
                <w:rStyle w:val="fontstyle01"/>
                <w:rFonts w:ascii="Times New Roman" w:hAnsi="Times New Roman"/>
              </w:rPr>
              <w:t>;</w:t>
            </w:r>
          </w:p>
          <w:p w14:paraId="39657BAE" w14:textId="7A2EB72B" w:rsidR="00B314A6" w:rsidRPr="00E9525C" w:rsidRDefault="00B314A6" w:rsidP="00AF42BD">
            <w:pPr>
              <w:pStyle w:val="ListParagraph"/>
              <w:numPr>
                <w:ilvl w:val="0"/>
                <w:numId w:val="38"/>
              </w:numPr>
              <w:ind w:left="379" w:hanging="284"/>
              <w:jc w:val="both"/>
              <w:rPr>
                <w:sz w:val="20"/>
                <w:szCs w:val="20"/>
                <w:lang w:val="fr-FR" w:eastAsia="en-US"/>
              </w:rPr>
            </w:pPr>
            <w:r w:rsidRPr="00AF42BD">
              <w:rPr>
                <w:rStyle w:val="fontstyle01"/>
                <w:rFonts w:ascii="Times New Roman" w:hAnsi="Times New Roman"/>
              </w:rPr>
              <w:t>Capacitatea de a prezenta argumente în faţa unei audienţe</w:t>
            </w:r>
            <w:r w:rsidR="00AF42BD">
              <w:rPr>
                <w:rStyle w:val="fontstyle01"/>
                <w:rFonts w:ascii="Times New Roman" w:hAnsi="Times New Roman"/>
              </w:rPr>
              <w:t xml:space="preserve"> </w:t>
            </w:r>
            <w:r w:rsidRPr="00AF42BD">
              <w:rPr>
                <w:rStyle w:val="fontstyle01"/>
                <w:rFonts w:ascii="Times New Roman" w:hAnsi="Times New Roman"/>
              </w:rPr>
              <w:t>alcătuită din persoane cu niveluri diferite de pregătire şi educaţie,</w:t>
            </w:r>
            <w:r w:rsidR="00AF42BD">
              <w:rPr>
                <w:rStyle w:val="fontstyle01"/>
                <w:rFonts w:ascii="Times New Roman" w:hAnsi="Times New Roman"/>
              </w:rPr>
              <w:t xml:space="preserve"> </w:t>
            </w:r>
            <w:r w:rsidRPr="00AF42BD">
              <w:rPr>
                <w:rStyle w:val="fontstyle01"/>
                <w:rFonts w:ascii="Times New Roman" w:hAnsi="Times New Roman"/>
              </w:rPr>
              <w:t>astfel încât, prin limbajul folosit, să se poată face înţeles şi de alte</w:t>
            </w:r>
            <w:r w:rsidR="00AF42BD">
              <w:rPr>
                <w:rStyle w:val="fontstyle01"/>
                <w:rFonts w:ascii="Times New Roman" w:hAnsi="Times New Roman"/>
              </w:rPr>
              <w:t xml:space="preserve"> </w:t>
            </w:r>
            <w:r w:rsidRPr="00AF42BD">
              <w:rPr>
                <w:rStyle w:val="fontstyle01"/>
                <w:rFonts w:ascii="Times New Roman" w:hAnsi="Times New Roman"/>
              </w:rPr>
              <w:t>categorii de persoane (clienti)</w:t>
            </w:r>
            <w:r w:rsidR="00AF42BD">
              <w:rPr>
                <w:rStyle w:val="fontstyle01"/>
                <w:rFonts w:ascii="Times New Roman" w:hAnsi="Times New Roman"/>
              </w:rPr>
              <w:t>;</w:t>
            </w:r>
          </w:p>
          <w:p w14:paraId="26A3295C" w14:textId="03D6D289" w:rsidR="00E0255D" w:rsidRPr="00E9525C" w:rsidRDefault="00B314A6">
            <w:pPr>
              <w:pStyle w:val="ListParagraph"/>
              <w:numPr>
                <w:ilvl w:val="0"/>
                <w:numId w:val="38"/>
              </w:numPr>
              <w:ind w:left="379" w:hanging="284"/>
              <w:jc w:val="both"/>
              <w:rPr>
                <w:sz w:val="20"/>
                <w:szCs w:val="20"/>
                <w:lang w:val="fr-FR" w:eastAsia="en-US"/>
              </w:rPr>
            </w:pPr>
            <w:r w:rsidRPr="00AF42BD">
              <w:rPr>
                <w:rStyle w:val="fontstyle01"/>
                <w:rFonts w:ascii="Times New Roman" w:hAnsi="Times New Roman"/>
              </w:rPr>
              <w:t>Capacitatea de a demonstra abilităţi de lucru în echipă</w:t>
            </w:r>
            <w:r w:rsidR="00AF42BD">
              <w:rPr>
                <w:rStyle w:val="fontstyle01"/>
                <w:rFonts w:ascii="Times New Roman" w:hAnsi="Times New Roman"/>
              </w:rPr>
              <w:t>;</w:t>
            </w:r>
          </w:p>
        </w:tc>
      </w:tr>
      <w:tr w:rsidR="00C94D71" w:rsidRPr="002559F2" w14:paraId="71758DDA" w14:textId="77777777" w:rsidTr="005637E2">
        <w:trPr>
          <w:cantSplit/>
          <w:trHeight w:val="984"/>
        </w:trPr>
        <w:tc>
          <w:tcPr>
            <w:tcW w:w="993" w:type="dxa"/>
            <w:shd w:val="clear" w:color="auto" w:fill="DDD9C3" w:themeFill="background2" w:themeFillShade="E6"/>
            <w:vAlign w:val="center"/>
          </w:tcPr>
          <w:p w14:paraId="5F0C5E8F" w14:textId="26E93F51" w:rsidR="00C94D71" w:rsidRPr="00E6214F" w:rsidRDefault="00C94D71" w:rsidP="00C94D7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6214F">
              <w:rPr>
                <w:rFonts w:ascii="Times New Roman" w:hAnsi="Times New Roman"/>
                <w:sz w:val="20"/>
                <w:szCs w:val="20"/>
                <w:lang w:val="ro-RO"/>
              </w:rPr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1317E121" w14:textId="2FB0E85E" w:rsidR="00C94D71" w:rsidRPr="00AF42BD" w:rsidRDefault="00AF42BD" w:rsidP="00B54A87">
            <w:pPr>
              <w:pStyle w:val="ListParagraph"/>
              <w:numPr>
                <w:ilvl w:val="0"/>
                <w:numId w:val="42"/>
              </w:numPr>
              <w:ind w:left="379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F42BD">
              <w:rPr>
                <w:color w:val="000000"/>
                <w:sz w:val="20"/>
                <w:szCs w:val="20"/>
                <w:lang w:eastAsia="en-US"/>
              </w:rPr>
              <w:t>C</w:t>
            </w:r>
            <w:r w:rsidR="00B314A6" w:rsidRPr="00AF42BD">
              <w:rPr>
                <w:color w:val="000000"/>
                <w:sz w:val="20"/>
                <w:szCs w:val="20"/>
                <w:lang w:eastAsia="en-US"/>
              </w:rPr>
              <w:t>apacitatea de a lucra independent pentru obţinerea informaţiilor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B314A6" w:rsidRPr="00AF42BD">
              <w:rPr>
                <w:color w:val="000000"/>
                <w:sz w:val="20"/>
                <w:szCs w:val="20"/>
                <w:lang w:eastAsia="en-US"/>
              </w:rPr>
              <w:t>(bibliografice, studii de caz, teorii, ghiduri de bune practici etc.)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B314A6" w:rsidRPr="00AF42BD">
              <w:rPr>
                <w:color w:val="000000"/>
                <w:sz w:val="20"/>
                <w:szCs w:val="20"/>
                <w:lang w:eastAsia="en-US"/>
              </w:rPr>
              <w:t>necesare îndeplinirii unei sarcini specifice asociate domeniului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B314A6" w:rsidRPr="00AF42BD">
              <w:rPr>
                <w:color w:val="000000"/>
                <w:sz w:val="20"/>
                <w:szCs w:val="20"/>
                <w:lang w:eastAsia="en-US"/>
              </w:rPr>
              <w:t>PMOT</w:t>
            </w:r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0DCC57F0" w14:textId="5CA1E3B0" w:rsidR="00B314A6" w:rsidRPr="00AF42BD" w:rsidRDefault="00AF42BD" w:rsidP="00B54A87">
            <w:pPr>
              <w:pStyle w:val="ListParagraph"/>
              <w:numPr>
                <w:ilvl w:val="0"/>
                <w:numId w:val="42"/>
              </w:numPr>
              <w:ind w:left="379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C</w:t>
            </w:r>
            <w:r w:rsidR="00B314A6" w:rsidRPr="00AF42BD">
              <w:rPr>
                <w:color w:val="000000"/>
                <w:sz w:val="20"/>
                <w:szCs w:val="20"/>
                <w:lang w:eastAsia="en-US"/>
              </w:rPr>
              <w:t>apacitatea de a-şi identifica propriile surse şi resurse de învăţare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B314A6" w:rsidRPr="00AF42BD">
              <w:rPr>
                <w:color w:val="000000"/>
                <w:sz w:val="20"/>
                <w:szCs w:val="20"/>
                <w:lang w:eastAsia="en-US"/>
              </w:rPr>
              <w:t>specifice domeniului PMOT</w:t>
            </w:r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57F06AEF" w14:textId="7BD5D2A2" w:rsidR="00B314A6" w:rsidRPr="00AF42BD" w:rsidRDefault="00B54A87" w:rsidP="00B54A87">
            <w:pPr>
              <w:pStyle w:val="ListParagraph"/>
              <w:numPr>
                <w:ilvl w:val="0"/>
                <w:numId w:val="41"/>
              </w:numPr>
              <w:ind w:left="379" w:hanging="28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Style w:val="fontstyle01"/>
                <w:rFonts w:ascii="Times New Roman" w:hAnsi="Times New Roman"/>
              </w:rPr>
              <w:t>D</w:t>
            </w:r>
            <w:r w:rsidR="00B314A6" w:rsidRPr="00AF42BD">
              <w:rPr>
                <w:rStyle w:val="fontstyle01"/>
                <w:rFonts w:ascii="Times New Roman" w:hAnsi="Times New Roman"/>
              </w:rPr>
              <w:t>eprin</w:t>
            </w:r>
            <w:r>
              <w:rPr>
                <w:rStyle w:val="fontstyle01"/>
                <w:rFonts w:ascii="Times New Roman" w:hAnsi="Times New Roman"/>
              </w:rPr>
              <w:t>derea de</w:t>
            </w:r>
            <w:r w:rsidR="00B314A6" w:rsidRPr="00AF42BD">
              <w:rPr>
                <w:rStyle w:val="fontstyle01"/>
                <w:rFonts w:ascii="Times New Roman" w:hAnsi="Times New Roman"/>
              </w:rPr>
              <w:t xml:space="preserve"> strategii de muncă riguroasă, eficientă şi</w:t>
            </w:r>
            <w:r>
              <w:rPr>
                <w:rStyle w:val="fontstyle01"/>
                <w:rFonts w:ascii="Times New Roman" w:hAnsi="Times New Roman"/>
              </w:rPr>
              <w:t xml:space="preserve"> </w:t>
            </w:r>
            <w:r w:rsidR="00B314A6" w:rsidRPr="00AF42BD">
              <w:rPr>
                <w:rStyle w:val="fontstyle01"/>
                <w:rFonts w:ascii="Times New Roman" w:hAnsi="Times New Roman"/>
              </w:rPr>
              <w:t>responsabilă, de punctualitate şi răspundere personală faţă de</w:t>
            </w:r>
            <w:r>
              <w:rPr>
                <w:rStyle w:val="fontstyle01"/>
                <w:rFonts w:ascii="Times New Roman" w:hAnsi="Times New Roman"/>
              </w:rPr>
              <w:t xml:space="preserve"> </w:t>
            </w:r>
            <w:r w:rsidR="00B314A6" w:rsidRPr="00AF42BD">
              <w:rPr>
                <w:rStyle w:val="fontstyle01"/>
                <w:rFonts w:ascii="Times New Roman" w:hAnsi="Times New Roman"/>
              </w:rPr>
              <w:t>rezultat, pe baza principiilor, normelor şi valorilor codului de</w:t>
            </w:r>
            <w:r>
              <w:rPr>
                <w:rStyle w:val="fontstyle01"/>
                <w:rFonts w:ascii="Times New Roman" w:hAnsi="Times New Roman"/>
              </w:rPr>
              <w:t xml:space="preserve"> </w:t>
            </w:r>
            <w:r w:rsidR="00B314A6" w:rsidRPr="00AF42BD">
              <w:rPr>
                <w:rStyle w:val="fontstyle01"/>
                <w:rFonts w:ascii="Times New Roman" w:hAnsi="Times New Roman"/>
              </w:rPr>
              <w:t>etică profesională</w:t>
            </w:r>
            <w:r>
              <w:rPr>
                <w:rStyle w:val="fontstyle01"/>
                <w:rFonts w:ascii="Times New Roman" w:hAnsi="Times New Roman"/>
              </w:rPr>
              <w:t>;</w:t>
            </w:r>
          </w:p>
          <w:p w14:paraId="4A832B6D" w14:textId="07079C7A" w:rsidR="00AF42BD" w:rsidRPr="00AF42BD" w:rsidRDefault="00B54A87" w:rsidP="00B54A87">
            <w:pPr>
              <w:pStyle w:val="ListParagraph"/>
              <w:numPr>
                <w:ilvl w:val="0"/>
                <w:numId w:val="41"/>
              </w:numPr>
              <w:ind w:left="379" w:hanging="28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Style w:val="fontstyle01"/>
                <w:rFonts w:ascii="Times New Roman" w:hAnsi="Times New Roman"/>
              </w:rPr>
              <w:t>D</w:t>
            </w:r>
            <w:r w:rsidR="00AF42BD" w:rsidRPr="00AF42BD">
              <w:rPr>
                <w:rStyle w:val="fontstyle01"/>
                <w:rFonts w:ascii="Times New Roman" w:hAnsi="Times New Roman"/>
              </w:rPr>
              <w:t>ezvoltarea unor abilităţi de autocontrol permanent şi conştient cu</w:t>
            </w:r>
            <w:r>
              <w:rPr>
                <w:rStyle w:val="fontstyle01"/>
                <w:rFonts w:ascii="Times New Roman" w:hAnsi="Times New Roman"/>
              </w:rPr>
              <w:t xml:space="preserve"> </w:t>
            </w:r>
            <w:r w:rsidR="00AF42BD" w:rsidRPr="00AF42BD">
              <w:rPr>
                <w:rStyle w:val="fontstyle01"/>
                <w:rFonts w:ascii="Times New Roman" w:hAnsi="Times New Roman"/>
              </w:rPr>
              <w:t>privire la motivaţiile pentru învăţare, prin raportare la propriile</w:t>
            </w:r>
            <w:r>
              <w:rPr>
                <w:rStyle w:val="fontstyle01"/>
                <w:rFonts w:ascii="Times New Roman" w:hAnsi="Times New Roman"/>
              </w:rPr>
              <w:t xml:space="preserve"> </w:t>
            </w:r>
            <w:r w:rsidR="00AF42BD" w:rsidRPr="00AF42BD">
              <w:rPr>
                <w:rStyle w:val="fontstyle01"/>
                <w:rFonts w:ascii="Times New Roman" w:hAnsi="Times New Roman"/>
              </w:rPr>
              <w:t>obiective de dezvoltare profesională şi personală</w:t>
            </w:r>
            <w:r>
              <w:rPr>
                <w:rStyle w:val="fontstyle01"/>
                <w:rFonts w:ascii="Times New Roman" w:hAnsi="Times New Roman"/>
              </w:rPr>
              <w:t>;</w:t>
            </w:r>
          </w:p>
          <w:p w14:paraId="78946F0F" w14:textId="64D41963" w:rsidR="00B314A6" w:rsidRPr="00B54A87" w:rsidRDefault="00B54A87" w:rsidP="00B54A87">
            <w:pPr>
              <w:pStyle w:val="ListParagraph"/>
              <w:numPr>
                <w:ilvl w:val="0"/>
                <w:numId w:val="41"/>
              </w:numPr>
              <w:ind w:left="379" w:hanging="28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Style w:val="fontstyle01"/>
                <w:rFonts w:ascii="Times New Roman" w:hAnsi="Times New Roman"/>
              </w:rPr>
              <w:t>C</w:t>
            </w:r>
            <w:r w:rsidR="00AF42BD" w:rsidRPr="00AF42BD">
              <w:rPr>
                <w:rStyle w:val="fontstyle01"/>
                <w:rFonts w:ascii="Times New Roman" w:hAnsi="Times New Roman"/>
              </w:rPr>
              <w:t>apacitatea de conştientizare a motivaţiilor extrinseci şi intrinseci</w:t>
            </w:r>
            <w:r>
              <w:rPr>
                <w:rStyle w:val="fontstyle01"/>
                <w:rFonts w:ascii="Times New Roman" w:hAnsi="Times New Roman"/>
              </w:rPr>
              <w:t xml:space="preserve"> </w:t>
            </w:r>
            <w:r w:rsidR="00AF42BD" w:rsidRPr="00AF42BD">
              <w:rPr>
                <w:rStyle w:val="fontstyle01"/>
                <w:rFonts w:ascii="Times New Roman" w:hAnsi="Times New Roman"/>
              </w:rPr>
              <w:t>ale învăţării continue</w:t>
            </w:r>
            <w:r>
              <w:rPr>
                <w:rStyle w:val="fontstyle01"/>
                <w:rFonts w:ascii="Times New Roman" w:hAnsi="Times New Roman"/>
              </w:rPr>
              <w:t>.</w:t>
            </w:r>
          </w:p>
        </w:tc>
      </w:tr>
    </w:tbl>
    <w:p w14:paraId="50140982" w14:textId="20844A39" w:rsidR="00C4385C" w:rsidRDefault="00C4385C" w:rsidP="002644F8">
      <w:pPr>
        <w:spacing w:line="276" w:lineRule="auto"/>
        <w:rPr>
          <w:b/>
          <w:sz w:val="22"/>
          <w:szCs w:val="22"/>
        </w:rPr>
      </w:pPr>
    </w:p>
    <w:p w14:paraId="63A74C04" w14:textId="29C6F0E3" w:rsidR="00E0255D" w:rsidRPr="002559F2" w:rsidRDefault="00E0255D" w:rsidP="00991910">
      <w:pPr>
        <w:pStyle w:val="ListParagraph"/>
        <w:numPr>
          <w:ilvl w:val="0"/>
          <w:numId w:val="26"/>
        </w:numPr>
        <w:spacing w:line="276" w:lineRule="auto"/>
        <w:ind w:left="284" w:hanging="284"/>
        <w:rPr>
          <w:b/>
          <w:sz w:val="22"/>
          <w:szCs w:val="22"/>
        </w:rPr>
      </w:pPr>
      <w:r w:rsidRPr="002559F2">
        <w:rPr>
          <w:b/>
          <w:sz w:val="22"/>
          <w:szCs w:val="22"/>
        </w:rPr>
        <w:t>Con</w:t>
      </w:r>
      <w:r w:rsidR="00C4385C" w:rsidRPr="002559F2">
        <w:rPr>
          <w:b/>
          <w:sz w:val="22"/>
          <w:szCs w:val="22"/>
        </w:rPr>
        <w:t>ț</w:t>
      </w:r>
      <w:r w:rsidRPr="002559F2">
        <w:rPr>
          <w:b/>
          <w:sz w:val="22"/>
          <w:szCs w:val="22"/>
        </w:rPr>
        <w:t xml:space="preserve">inuturi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9"/>
        <w:gridCol w:w="2268"/>
        <w:gridCol w:w="4678"/>
      </w:tblGrid>
      <w:tr w:rsidR="00802D13" w:rsidRPr="00991910" w14:paraId="65C2680D" w14:textId="77777777" w:rsidTr="00F73144">
        <w:tc>
          <w:tcPr>
            <w:tcW w:w="2439" w:type="dxa"/>
            <w:shd w:val="clear" w:color="auto" w:fill="EEECE1" w:themeFill="background2"/>
          </w:tcPr>
          <w:p w14:paraId="460E7C72" w14:textId="2E8BB757" w:rsidR="00802D13" w:rsidRPr="00991910" w:rsidRDefault="00F90CB2" w:rsidP="00752E1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802D13" w:rsidRPr="00991910">
              <w:rPr>
                <w:b/>
                <w:sz w:val="22"/>
                <w:szCs w:val="22"/>
              </w:rPr>
              <w:t>.1 Curs</w:t>
            </w:r>
          </w:p>
        </w:tc>
        <w:tc>
          <w:tcPr>
            <w:tcW w:w="2268" w:type="dxa"/>
            <w:shd w:val="clear" w:color="auto" w:fill="EEECE1" w:themeFill="background2"/>
          </w:tcPr>
          <w:p w14:paraId="34C90944" w14:textId="026D1C96" w:rsidR="00802D13" w:rsidRPr="00991910" w:rsidRDefault="00802D13" w:rsidP="00991910">
            <w:pPr>
              <w:jc w:val="center"/>
              <w:rPr>
                <w:b/>
                <w:sz w:val="22"/>
                <w:szCs w:val="22"/>
              </w:rPr>
            </w:pPr>
            <w:r w:rsidRPr="00991910">
              <w:rPr>
                <w:b/>
                <w:sz w:val="22"/>
                <w:szCs w:val="22"/>
              </w:rPr>
              <w:t>Metode de predare</w:t>
            </w:r>
          </w:p>
        </w:tc>
        <w:tc>
          <w:tcPr>
            <w:tcW w:w="4678" w:type="dxa"/>
            <w:shd w:val="clear" w:color="auto" w:fill="EEECE1" w:themeFill="background2"/>
          </w:tcPr>
          <w:p w14:paraId="241C1E48" w14:textId="6EDECD3B" w:rsidR="00802D13" w:rsidRPr="00991910" w:rsidRDefault="00802D13" w:rsidP="00991910">
            <w:pPr>
              <w:jc w:val="center"/>
              <w:rPr>
                <w:b/>
                <w:sz w:val="22"/>
                <w:szCs w:val="22"/>
              </w:rPr>
            </w:pPr>
            <w:r w:rsidRPr="00991910">
              <w:rPr>
                <w:b/>
                <w:sz w:val="22"/>
                <w:szCs w:val="22"/>
              </w:rPr>
              <w:t>Observații</w:t>
            </w:r>
          </w:p>
        </w:tc>
      </w:tr>
      <w:tr w:rsidR="00CA2EE9" w:rsidRPr="002559F2" w14:paraId="55F7291E" w14:textId="77777777" w:rsidTr="00F73144">
        <w:tc>
          <w:tcPr>
            <w:tcW w:w="9385" w:type="dxa"/>
            <w:gridSpan w:val="3"/>
            <w:shd w:val="clear" w:color="auto" w:fill="FBD4B4" w:themeFill="accent6" w:themeFillTint="66"/>
          </w:tcPr>
          <w:p w14:paraId="5AFDCEE6" w14:textId="53B7DA50" w:rsidR="00CA2EE9" w:rsidRPr="00A85C66" w:rsidRDefault="00CA2EE9" w:rsidP="00A85C66">
            <w:pPr>
              <w:pStyle w:val="NoSpacing"/>
              <w:jc w:val="both"/>
              <w:rPr>
                <w:rFonts w:ascii="Times New Roman" w:hAnsi="Times New Roman"/>
                <w:b/>
                <w:color w:val="943634" w:themeColor="accent2" w:themeShade="BF"/>
                <w:sz w:val="20"/>
                <w:szCs w:val="20"/>
                <w:lang w:val="ro-RO"/>
              </w:rPr>
            </w:pPr>
            <w:r w:rsidRPr="00A85C66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Toate materialele care țin de curs și seminar vor fi postate pe platforma classroom, iar codul de acces este: </w:t>
            </w:r>
            <w:r w:rsidR="00B41ADC" w:rsidRPr="00B41AD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lkmzav4</w:t>
            </w:r>
          </w:p>
        </w:tc>
      </w:tr>
      <w:tr w:rsidR="008D6EC5" w:rsidRPr="002559F2" w14:paraId="668108F7" w14:textId="77777777" w:rsidTr="00F73144">
        <w:tc>
          <w:tcPr>
            <w:tcW w:w="2439" w:type="dxa"/>
            <w:shd w:val="clear" w:color="auto" w:fill="EEECE1" w:themeFill="background2"/>
          </w:tcPr>
          <w:p w14:paraId="7ABBE449" w14:textId="299ACE00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t xml:space="preserve">C1: Dezvoltarea resurselor umane la nivel de organizație </w:t>
            </w:r>
            <w:r w:rsidRPr="00882E3F">
              <w:rPr>
                <w:sz w:val="20"/>
                <w:szCs w:val="20"/>
              </w:rPr>
              <w:t>(2 ore)</w:t>
            </w:r>
          </w:p>
        </w:tc>
        <w:tc>
          <w:tcPr>
            <w:tcW w:w="2268" w:type="dxa"/>
            <w:shd w:val="clear" w:color="auto" w:fill="auto"/>
          </w:tcPr>
          <w:p w14:paraId="1531B178" w14:textId="1B3C7D92" w:rsidR="008D6EC5" w:rsidRPr="002559F2" w:rsidRDefault="008D6EC5" w:rsidP="008D6EC5">
            <w:pPr>
              <w:rPr>
                <w:sz w:val="22"/>
                <w:szCs w:val="22"/>
              </w:rPr>
            </w:pPr>
            <w:r w:rsidRPr="00F44379">
              <w:rPr>
                <w:sz w:val="18"/>
                <w:szCs w:val="18"/>
              </w:rPr>
              <w:t>Prelegere</w:t>
            </w:r>
            <w:r>
              <w:rPr>
                <w:sz w:val="18"/>
                <w:szCs w:val="18"/>
              </w:rPr>
              <w:t xml:space="preserve"> (slot-uri de 1o' de teorie, alternativ cu alte metode de activizare)</w:t>
            </w:r>
            <w:r w:rsidRPr="00F44379">
              <w:rPr>
                <w:sz w:val="18"/>
                <w:szCs w:val="18"/>
              </w:rPr>
              <w:t>, conversație</w:t>
            </w:r>
            <w:r>
              <w:rPr>
                <w:sz w:val="18"/>
                <w:szCs w:val="18"/>
              </w:rPr>
              <w:t>, problematizare</w:t>
            </w:r>
          </w:p>
        </w:tc>
        <w:tc>
          <w:tcPr>
            <w:tcW w:w="4678" w:type="dxa"/>
            <w:shd w:val="clear" w:color="auto" w:fill="auto"/>
          </w:tcPr>
          <w:p w14:paraId="2E720044" w14:textId="0320684E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 w:rsidRPr="00882E3F">
              <w:rPr>
                <w:sz w:val="18"/>
                <w:szCs w:val="18"/>
                <w:u w:val="single"/>
              </w:rPr>
              <w:t>De citit</w:t>
            </w:r>
            <w:r w:rsidRPr="00882E3F">
              <w:rPr>
                <w:sz w:val="18"/>
                <w:szCs w:val="18"/>
              </w:rPr>
              <w:t xml:space="preserve">: (1) Avram, E., &amp; Cooper, C. L., (coord.) (2008). </w:t>
            </w:r>
            <w:r w:rsidRPr="00882E3F">
              <w:rPr>
                <w:i/>
                <w:sz w:val="18"/>
                <w:szCs w:val="18"/>
              </w:rPr>
              <w:t xml:space="preserve">Tendinţe actuale în Psihologia Organizaţional-Managerială. Iaşi: </w:t>
            </w:r>
            <w:r w:rsidRPr="00882E3F">
              <w:rPr>
                <w:sz w:val="18"/>
                <w:szCs w:val="18"/>
              </w:rPr>
              <w:t>Editura Polirom, pp. 872-883; (2) Stone, R. (20</w:t>
            </w:r>
            <w:r>
              <w:rPr>
                <w:sz w:val="18"/>
                <w:szCs w:val="18"/>
              </w:rPr>
              <w:t>14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Human resource management</w:t>
            </w:r>
            <w:r w:rsidRPr="00882E3F">
              <w:rPr>
                <w:sz w:val="18"/>
                <w:szCs w:val="18"/>
              </w:rPr>
              <w:t>, pp. 3</w:t>
            </w:r>
            <w:r>
              <w:rPr>
                <w:sz w:val="18"/>
                <w:szCs w:val="18"/>
              </w:rPr>
              <w:t>5</w:t>
            </w:r>
            <w:r w:rsidRPr="00882E3F">
              <w:rPr>
                <w:sz w:val="18"/>
                <w:szCs w:val="18"/>
              </w:rPr>
              <w:t>5-3</w:t>
            </w:r>
            <w:r>
              <w:rPr>
                <w:sz w:val="18"/>
                <w:szCs w:val="18"/>
              </w:rPr>
              <w:t>6</w:t>
            </w:r>
            <w:r w:rsidRPr="00882E3F">
              <w:rPr>
                <w:sz w:val="18"/>
                <w:szCs w:val="18"/>
              </w:rPr>
              <w:t>0, John, Wiley and Sons, Australia, Ltd.</w:t>
            </w:r>
          </w:p>
        </w:tc>
      </w:tr>
      <w:tr w:rsidR="008D6EC5" w:rsidRPr="002559F2" w14:paraId="67C8F17B" w14:textId="77777777" w:rsidTr="00F73144">
        <w:tc>
          <w:tcPr>
            <w:tcW w:w="2439" w:type="dxa"/>
            <w:shd w:val="clear" w:color="auto" w:fill="EEECE1" w:themeFill="background2"/>
          </w:tcPr>
          <w:p w14:paraId="1FE7055E" w14:textId="32DDA679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t>C2: Organizaţia care învaţă şi învăţarea organizaţională</w:t>
            </w:r>
            <w:r w:rsidRPr="00882E3F">
              <w:rPr>
                <w:sz w:val="20"/>
                <w:szCs w:val="20"/>
              </w:rPr>
              <w:t xml:space="preserve"> (2 ore)</w:t>
            </w:r>
          </w:p>
        </w:tc>
        <w:tc>
          <w:tcPr>
            <w:tcW w:w="2268" w:type="dxa"/>
            <w:shd w:val="clear" w:color="auto" w:fill="auto"/>
          </w:tcPr>
          <w:p w14:paraId="7CC5BAD7" w14:textId="7AAA1B7C" w:rsidR="008D6EC5" w:rsidRPr="002559F2" w:rsidRDefault="008D6EC5" w:rsidP="008D6EC5">
            <w:pPr>
              <w:rPr>
                <w:sz w:val="22"/>
                <w:szCs w:val="22"/>
              </w:rPr>
            </w:pPr>
            <w:r w:rsidRPr="00F44379">
              <w:rPr>
                <w:sz w:val="18"/>
                <w:szCs w:val="18"/>
              </w:rPr>
              <w:t>Prelegere</w:t>
            </w:r>
            <w:r>
              <w:rPr>
                <w:sz w:val="18"/>
                <w:szCs w:val="18"/>
              </w:rPr>
              <w:t xml:space="preserve"> (slot-uri de 1o' de teorie, alternativ cu alte metode de activizare)</w:t>
            </w:r>
            <w:r w:rsidRPr="00F44379">
              <w:rPr>
                <w:sz w:val="18"/>
                <w:szCs w:val="18"/>
              </w:rPr>
              <w:t>, conversație</w:t>
            </w:r>
            <w:r>
              <w:rPr>
                <w:sz w:val="18"/>
                <w:szCs w:val="18"/>
              </w:rPr>
              <w:t>, problematizare</w:t>
            </w:r>
          </w:p>
        </w:tc>
        <w:tc>
          <w:tcPr>
            <w:tcW w:w="4678" w:type="dxa"/>
            <w:shd w:val="clear" w:color="auto" w:fill="auto"/>
          </w:tcPr>
          <w:p w14:paraId="0D4E3569" w14:textId="77777777" w:rsidR="008D6EC5" w:rsidRDefault="008D6EC5" w:rsidP="005878C7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82E3F">
              <w:rPr>
                <w:rFonts w:ascii="Times New Roman" w:hAnsi="Times New Roman"/>
                <w:sz w:val="18"/>
                <w:szCs w:val="18"/>
                <w:u w:val="single"/>
                <w:lang w:val="ro-RO"/>
              </w:rPr>
              <w:t>De citit</w:t>
            </w: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: (1) Stone, R. (2005). </w:t>
            </w:r>
            <w:r w:rsidRPr="00882E3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Human resource management.</w:t>
            </w: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John, Wiley and Sons, Australia, Ltd., pp. 332-334.</w:t>
            </w:r>
          </w:p>
          <w:p w14:paraId="489DC630" w14:textId="0C63A2AF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Paloș,R. (2019). Învățarea la locul de muncă și învățarea organizațională, cap. 24, pp. 395-397. În Sava,S. &amp; Paloș,R. (coord.), Educația adulților – baze teoretice și repere practice, ediția II. Iași – Editura Polirom </w:t>
            </w:r>
          </w:p>
        </w:tc>
      </w:tr>
      <w:tr w:rsidR="008D6EC5" w:rsidRPr="002559F2" w14:paraId="437A7838" w14:textId="77777777" w:rsidTr="00F73144">
        <w:tc>
          <w:tcPr>
            <w:tcW w:w="2439" w:type="dxa"/>
            <w:shd w:val="clear" w:color="auto" w:fill="EEECE1" w:themeFill="background2"/>
          </w:tcPr>
          <w:p w14:paraId="49B70245" w14:textId="7C484CF1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t xml:space="preserve">C3: Resursele umane ale organizaţiei: </w:t>
            </w:r>
            <w:r w:rsidRPr="00882E3F">
              <w:rPr>
                <w:sz w:val="20"/>
                <w:szCs w:val="20"/>
              </w:rPr>
              <w:t>abordarea sistematică a trainingului și a dezvoltării angajaților (2 ore)</w:t>
            </w:r>
          </w:p>
        </w:tc>
        <w:tc>
          <w:tcPr>
            <w:tcW w:w="2268" w:type="dxa"/>
            <w:shd w:val="clear" w:color="auto" w:fill="auto"/>
          </w:tcPr>
          <w:p w14:paraId="0CDEEE35" w14:textId="6AED4EE4" w:rsidR="008D6EC5" w:rsidRPr="002559F2" w:rsidRDefault="008D6EC5" w:rsidP="008D6EC5">
            <w:pPr>
              <w:rPr>
                <w:sz w:val="22"/>
                <w:szCs w:val="22"/>
              </w:rPr>
            </w:pPr>
            <w:r w:rsidRPr="00F44379">
              <w:rPr>
                <w:sz w:val="18"/>
                <w:szCs w:val="18"/>
              </w:rPr>
              <w:t>Prelegere</w:t>
            </w:r>
            <w:r>
              <w:rPr>
                <w:sz w:val="18"/>
                <w:szCs w:val="18"/>
              </w:rPr>
              <w:t xml:space="preserve"> (slot-uri de 1o' de teorie, alternativ cu alte metode de activizare)</w:t>
            </w:r>
            <w:r w:rsidRPr="00F44379">
              <w:rPr>
                <w:sz w:val="18"/>
                <w:szCs w:val="18"/>
              </w:rPr>
              <w:t>, conversație</w:t>
            </w:r>
            <w:r>
              <w:rPr>
                <w:sz w:val="18"/>
                <w:szCs w:val="18"/>
              </w:rPr>
              <w:t>, problematizare</w:t>
            </w:r>
          </w:p>
        </w:tc>
        <w:tc>
          <w:tcPr>
            <w:tcW w:w="4678" w:type="dxa"/>
            <w:shd w:val="clear" w:color="auto" w:fill="auto"/>
          </w:tcPr>
          <w:p w14:paraId="5F651243" w14:textId="6564BF80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 w:rsidRPr="00882E3F">
              <w:rPr>
                <w:sz w:val="18"/>
                <w:szCs w:val="18"/>
                <w:u w:val="single"/>
              </w:rPr>
              <w:t>De citit</w:t>
            </w:r>
            <w:r w:rsidRPr="00882E3F">
              <w:rPr>
                <w:sz w:val="18"/>
                <w:szCs w:val="18"/>
              </w:rPr>
              <w:t>: (1) Stone, R. (20</w:t>
            </w:r>
            <w:r>
              <w:rPr>
                <w:sz w:val="18"/>
                <w:szCs w:val="18"/>
              </w:rPr>
              <w:t>14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Human resource management.</w:t>
            </w:r>
            <w:r w:rsidRPr="00882E3F">
              <w:rPr>
                <w:sz w:val="18"/>
                <w:szCs w:val="18"/>
              </w:rPr>
              <w:t xml:space="preserve"> John, Wiley and Sons, Australia, Ltd., pp. 3</w:t>
            </w:r>
            <w:r>
              <w:rPr>
                <w:sz w:val="18"/>
                <w:szCs w:val="18"/>
              </w:rPr>
              <w:t>5</w:t>
            </w:r>
            <w:r w:rsidRPr="00882E3F">
              <w:rPr>
                <w:sz w:val="18"/>
                <w:szCs w:val="18"/>
              </w:rPr>
              <w:t>5-3</w:t>
            </w:r>
            <w:r>
              <w:rPr>
                <w:sz w:val="18"/>
                <w:szCs w:val="18"/>
              </w:rPr>
              <w:t>6</w:t>
            </w:r>
            <w:r w:rsidRPr="00882E3F">
              <w:rPr>
                <w:sz w:val="18"/>
                <w:szCs w:val="18"/>
              </w:rPr>
              <w:t xml:space="preserve">0. (2) </w:t>
            </w:r>
            <w:r w:rsidRPr="00882E3F">
              <w:rPr>
                <w:color w:val="000000"/>
                <w:sz w:val="18"/>
                <w:szCs w:val="18"/>
              </w:rPr>
              <w:t>Blanchard, P. N., &amp; Thacker, J. W. (20</w:t>
            </w:r>
            <w:r>
              <w:rPr>
                <w:color w:val="000000"/>
                <w:sz w:val="18"/>
                <w:szCs w:val="18"/>
              </w:rPr>
              <w:t>13</w:t>
            </w:r>
            <w:r w:rsidRPr="00882E3F">
              <w:rPr>
                <w:color w:val="000000"/>
                <w:sz w:val="18"/>
                <w:szCs w:val="18"/>
              </w:rPr>
              <w:t xml:space="preserve">). </w:t>
            </w:r>
            <w:r w:rsidRPr="00882E3F">
              <w:rPr>
                <w:i/>
                <w:color w:val="000000"/>
                <w:sz w:val="18"/>
                <w:szCs w:val="18"/>
              </w:rPr>
              <w:t>Effective training. Systems, strategies and practices</w:t>
            </w:r>
            <w:r w:rsidRPr="00882E3F">
              <w:rPr>
                <w:color w:val="000000"/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  <w:vertAlign w:val="superscript"/>
              </w:rPr>
              <w:t>th</w:t>
            </w:r>
            <w:r w:rsidRPr="00882E3F">
              <w:rPr>
                <w:color w:val="000000"/>
                <w:sz w:val="18"/>
                <w:szCs w:val="18"/>
              </w:rPr>
              <w:t xml:space="preserve"> edition). N.J.: Pearson Education, Inc., pp.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882E3F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48</w:t>
            </w:r>
            <w:r w:rsidRPr="00882E3F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(3) Salas,E., Weaver,S.J., Shuffler,M.L. (2012). Learning, training and development in organizations (pp.3-6; 7-12). In S.W.J. Kozlowski (edit.), </w:t>
            </w:r>
            <w:r w:rsidRPr="00127EF2">
              <w:rPr>
                <w:i/>
                <w:color w:val="000000"/>
                <w:sz w:val="18"/>
                <w:szCs w:val="18"/>
              </w:rPr>
              <w:t>The Oxford Handbook of Organizational Psychology</w:t>
            </w:r>
            <w:r>
              <w:rPr>
                <w:color w:val="000000"/>
                <w:sz w:val="18"/>
                <w:szCs w:val="18"/>
              </w:rPr>
              <w:t xml:space="preserve">, vol.1. Oxford University Press. </w:t>
            </w:r>
          </w:p>
        </w:tc>
      </w:tr>
      <w:tr w:rsidR="008D6EC5" w:rsidRPr="002559F2" w14:paraId="587656C4" w14:textId="77777777" w:rsidTr="00F73144">
        <w:tc>
          <w:tcPr>
            <w:tcW w:w="2439" w:type="dxa"/>
            <w:shd w:val="clear" w:color="auto" w:fill="EEECE1" w:themeFill="background2"/>
          </w:tcPr>
          <w:p w14:paraId="1E8D7FB3" w14:textId="7CBCA359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t xml:space="preserve">C4: Procesul de identificare a nevoilor de </w:t>
            </w:r>
            <w:r w:rsidRPr="00882E3F">
              <w:rPr>
                <w:b/>
                <w:sz w:val="20"/>
                <w:szCs w:val="20"/>
              </w:rPr>
              <w:lastRenderedPageBreak/>
              <w:t xml:space="preserve">formare şi dezvoltare: </w:t>
            </w:r>
            <w:r w:rsidRPr="00882E3F">
              <w:rPr>
                <w:sz w:val="20"/>
                <w:szCs w:val="20"/>
              </w:rPr>
              <w:t xml:space="preserve">nivele de analiză (2 ore) </w:t>
            </w:r>
          </w:p>
        </w:tc>
        <w:tc>
          <w:tcPr>
            <w:tcW w:w="2268" w:type="dxa"/>
            <w:shd w:val="clear" w:color="auto" w:fill="auto"/>
          </w:tcPr>
          <w:p w14:paraId="3568C321" w14:textId="2CF881EE" w:rsidR="008D6EC5" w:rsidRPr="002559F2" w:rsidRDefault="008D6EC5" w:rsidP="008D6EC5">
            <w:pPr>
              <w:rPr>
                <w:sz w:val="22"/>
                <w:szCs w:val="22"/>
              </w:rPr>
            </w:pPr>
            <w:r w:rsidRPr="00F44379">
              <w:rPr>
                <w:sz w:val="18"/>
                <w:szCs w:val="18"/>
              </w:rPr>
              <w:lastRenderedPageBreak/>
              <w:t>Prelegere</w:t>
            </w:r>
            <w:r>
              <w:rPr>
                <w:sz w:val="18"/>
                <w:szCs w:val="18"/>
              </w:rPr>
              <w:t xml:space="preserve"> (slot-uri de 1o' de teorie, alternativ cu alte </w:t>
            </w:r>
            <w:r>
              <w:rPr>
                <w:sz w:val="18"/>
                <w:szCs w:val="18"/>
              </w:rPr>
              <w:lastRenderedPageBreak/>
              <w:t>metode de activizare)</w:t>
            </w:r>
            <w:r w:rsidRPr="00F44379">
              <w:rPr>
                <w:sz w:val="18"/>
                <w:szCs w:val="18"/>
              </w:rPr>
              <w:t>, conversație</w:t>
            </w:r>
            <w:r>
              <w:rPr>
                <w:sz w:val="18"/>
                <w:szCs w:val="18"/>
              </w:rPr>
              <w:t>, problematizare</w:t>
            </w:r>
          </w:p>
        </w:tc>
        <w:tc>
          <w:tcPr>
            <w:tcW w:w="4678" w:type="dxa"/>
            <w:shd w:val="clear" w:color="auto" w:fill="auto"/>
          </w:tcPr>
          <w:p w14:paraId="0F129F4F" w14:textId="6513746C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 w:rsidRPr="00882E3F">
              <w:rPr>
                <w:sz w:val="18"/>
                <w:szCs w:val="18"/>
                <w:u w:val="single"/>
              </w:rPr>
              <w:lastRenderedPageBreak/>
              <w:t>De citit:</w:t>
            </w:r>
            <w:r w:rsidRPr="00882E3F">
              <w:rPr>
                <w:sz w:val="18"/>
                <w:szCs w:val="18"/>
              </w:rPr>
              <w:t xml:space="preserve"> Blanchard, P. N., &amp; Thacker, J. W. (20</w:t>
            </w:r>
            <w:r>
              <w:rPr>
                <w:sz w:val="18"/>
                <w:szCs w:val="18"/>
              </w:rPr>
              <w:t>13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Effective training. Systems, strategies and practices</w:t>
            </w:r>
            <w:r w:rsidRPr="00882E3F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vertAlign w:val="superscript"/>
              </w:rPr>
              <w:t>th</w:t>
            </w:r>
            <w:r w:rsidRPr="00882E3F">
              <w:rPr>
                <w:sz w:val="18"/>
                <w:szCs w:val="18"/>
              </w:rPr>
              <w:t xml:space="preserve"> edition). N.J.: Pearson Education, Inc., pp. </w:t>
            </w:r>
            <w:r>
              <w:rPr>
                <w:sz w:val="18"/>
                <w:szCs w:val="18"/>
              </w:rPr>
              <w:t>89</w:t>
            </w:r>
            <w:r w:rsidRPr="00882E3F">
              <w:rPr>
                <w:sz w:val="18"/>
                <w:szCs w:val="18"/>
              </w:rPr>
              <w:t>-14</w:t>
            </w:r>
            <w:r>
              <w:rPr>
                <w:sz w:val="18"/>
                <w:szCs w:val="18"/>
              </w:rPr>
              <w:t>0</w:t>
            </w:r>
            <w:r w:rsidRPr="00882E3F">
              <w:rPr>
                <w:sz w:val="18"/>
                <w:szCs w:val="18"/>
              </w:rPr>
              <w:t xml:space="preserve">; (2) Laird, D., Naquin, S. </w:t>
            </w:r>
            <w:r w:rsidRPr="00882E3F">
              <w:rPr>
                <w:sz w:val="18"/>
                <w:szCs w:val="18"/>
              </w:rPr>
              <w:lastRenderedPageBreak/>
              <w:t xml:space="preserve">S., &amp; Holton, E. F. (2003). </w:t>
            </w:r>
            <w:r w:rsidRPr="00882E3F">
              <w:rPr>
                <w:i/>
                <w:sz w:val="18"/>
                <w:szCs w:val="18"/>
              </w:rPr>
              <w:t>Approaches to training and development. New perspectives in organizational learning, performances and changes</w:t>
            </w:r>
            <w:r w:rsidRPr="00882E3F">
              <w:rPr>
                <w:sz w:val="18"/>
                <w:szCs w:val="18"/>
              </w:rPr>
              <w:t xml:space="preserve"> (3th edition), pp.49-77. Perseus Books Group. U.S.A.</w:t>
            </w:r>
            <w:r>
              <w:rPr>
                <w:sz w:val="18"/>
                <w:szCs w:val="18"/>
              </w:rPr>
              <w:t xml:space="preserve"> (3) Salas,E., Weaver,S.J., Shuffler,M.L. (2012). Learning, training and development in organizations (pp.13-17). In S.W.J. Kozlowski (edit.), </w:t>
            </w:r>
            <w:r w:rsidRPr="00127EF2">
              <w:rPr>
                <w:i/>
                <w:sz w:val="18"/>
                <w:szCs w:val="18"/>
              </w:rPr>
              <w:t>The Oxford Handbook of Organizational Psychology</w:t>
            </w:r>
            <w:r>
              <w:rPr>
                <w:sz w:val="18"/>
                <w:szCs w:val="18"/>
              </w:rPr>
              <w:t>, vol.1. Oxford University Press.</w:t>
            </w:r>
          </w:p>
        </w:tc>
      </w:tr>
      <w:tr w:rsidR="008D6EC5" w:rsidRPr="002559F2" w14:paraId="70CBDB40" w14:textId="77777777" w:rsidTr="00F73144">
        <w:tc>
          <w:tcPr>
            <w:tcW w:w="2439" w:type="dxa"/>
            <w:shd w:val="clear" w:color="auto" w:fill="EEECE1" w:themeFill="background2"/>
          </w:tcPr>
          <w:p w14:paraId="36821AAB" w14:textId="6BD37974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lastRenderedPageBreak/>
              <w:t>C5:</w:t>
            </w:r>
            <w:r w:rsidRPr="00882E3F">
              <w:rPr>
                <w:sz w:val="20"/>
                <w:szCs w:val="20"/>
              </w:rPr>
              <w:t xml:space="preserve"> </w:t>
            </w:r>
            <w:r w:rsidRPr="00882E3F">
              <w:rPr>
                <w:b/>
                <w:sz w:val="20"/>
                <w:szCs w:val="20"/>
              </w:rPr>
              <w:t>Identificarea nevoilor de formare</w:t>
            </w:r>
            <w:r w:rsidRPr="00882E3F">
              <w:rPr>
                <w:sz w:val="20"/>
                <w:szCs w:val="20"/>
              </w:rPr>
              <w:t>: metode utilizate în proc</w:t>
            </w:r>
            <w:r>
              <w:rPr>
                <w:sz w:val="20"/>
                <w:szCs w:val="20"/>
              </w:rPr>
              <w:t>esul de identificare a nevoilor</w:t>
            </w:r>
            <w:r w:rsidRPr="00882E3F">
              <w:rPr>
                <w:sz w:val="20"/>
                <w:szCs w:val="20"/>
              </w:rPr>
              <w:t xml:space="preserve"> (2 ore)</w:t>
            </w:r>
          </w:p>
        </w:tc>
        <w:tc>
          <w:tcPr>
            <w:tcW w:w="2268" w:type="dxa"/>
            <w:shd w:val="clear" w:color="auto" w:fill="auto"/>
          </w:tcPr>
          <w:p w14:paraId="3845E7B1" w14:textId="549D601A" w:rsidR="008D6EC5" w:rsidRPr="002559F2" w:rsidRDefault="008D6EC5" w:rsidP="008D6EC5">
            <w:pPr>
              <w:rPr>
                <w:sz w:val="22"/>
                <w:szCs w:val="22"/>
              </w:rPr>
            </w:pPr>
            <w:r w:rsidRPr="00CC4378">
              <w:rPr>
                <w:sz w:val="18"/>
                <w:szCs w:val="18"/>
              </w:rPr>
              <w:t>Prelegere (slot-uri de 1o' de teorie, alternativ cu alte metode de activizare), conversație, problematizare</w:t>
            </w:r>
          </w:p>
        </w:tc>
        <w:tc>
          <w:tcPr>
            <w:tcW w:w="4678" w:type="dxa"/>
            <w:shd w:val="clear" w:color="auto" w:fill="auto"/>
          </w:tcPr>
          <w:p w14:paraId="6CD63568" w14:textId="36664294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 w:rsidRPr="00882E3F">
              <w:rPr>
                <w:sz w:val="18"/>
                <w:szCs w:val="18"/>
                <w:u w:val="single"/>
              </w:rPr>
              <w:t>De citit:</w:t>
            </w:r>
            <w:r w:rsidRPr="00882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(1) </w:t>
            </w:r>
            <w:r w:rsidRPr="00882E3F">
              <w:rPr>
                <w:sz w:val="18"/>
                <w:szCs w:val="18"/>
              </w:rPr>
              <w:t>Blanchard, P. N., &amp; Thacker, J. W. (20</w:t>
            </w:r>
            <w:r>
              <w:rPr>
                <w:sz w:val="18"/>
                <w:szCs w:val="18"/>
              </w:rPr>
              <w:t>13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Effective training. Systems, strategies and practices</w:t>
            </w:r>
            <w:r w:rsidRPr="00882E3F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vertAlign w:val="superscript"/>
              </w:rPr>
              <w:t>th</w:t>
            </w:r>
            <w:r w:rsidRPr="00882E3F">
              <w:rPr>
                <w:sz w:val="18"/>
                <w:szCs w:val="18"/>
              </w:rPr>
              <w:t xml:space="preserve"> edition). N.J.: Pearson Education, Inc., pp. </w:t>
            </w:r>
            <w:r>
              <w:rPr>
                <w:sz w:val="18"/>
                <w:szCs w:val="18"/>
              </w:rPr>
              <w:t>199</w:t>
            </w:r>
            <w:r w:rsidRPr="00882E3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250</w:t>
            </w:r>
            <w:r w:rsidRPr="00882E3F">
              <w:rPr>
                <w:sz w:val="18"/>
                <w:szCs w:val="18"/>
              </w:rPr>
              <w:t>; (2) Stone, R. (20</w:t>
            </w:r>
            <w:r>
              <w:rPr>
                <w:sz w:val="18"/>
                <w:szCs w:val="18"/>
              </w:rPr>
              <w:t>14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Human resource management</w:t>
            </w:r>
            <w:r w:rsidRPr="00882E3F">
              <w:rPr>
                <w:sz w:val="18"/>
                <w:szCs w:val="18"/>
              </w:rPr>
              <w:t xml:space="preserve">, pp. </w:t>
            </w:r>
            <w:r>
              <w:rPr>
                <w:sz w:val="18"/>
                <w:szCs w:val="18"/>
              </w:rPr>
              <w:t>309</w:t>
            </w:r>
            <w:r w:rsidRPr="00882E3F">
              <w:rPr>
                <w:sz w:val="18"/>
                <w:szCs w:val="18"/>
              </w:rPr>
              <w:t>-3</w:t>
            </w:r>
            <w:r>
              <w:rPr>
                <w:sz w:val="18"/>
                <w:szCs w:val="18"/>
              </w:rPr>
              <w:t>37</w:t>
            </w:r>
            <w:r w:rsidRPr="00882E3F">
              <w:rPr>
                <w:sz w:val="18"/>
                <w:szCs w:val="18"/>
              </w:rPr>
              <w:t>, John, Wiley and Sons, Australia, Ltd.</w:t>
            </w:r>
          </w:p>
        </w:tc>
      </w:tr>
      <w:tr w:rsidR="008D6EC5" w:rsidRPr="002559F2" w14:paraId="5AE4579A" w14:textId="77777777" w:rsidTr="00F73144">
        <w:tc>
          <w:tcPr>
            <w:tcW w:w="2439" w:type="dxa"/>
            <w:shd w:val="clear" w:color="auto" w:fill="EEECE1" w:themeFill="background2"/>
          </w:tcPr>
          <w:p w14:paraId="1FD4945C" w14:textId="2AE7352D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t>C6:</w:t>
            </w:r>
            <w:r w:rsidRPr="00882E3F">
              <w:rPr>
                <w:sz w:val="20"/>
                <w:szCs w:val="20"/>
              </w:rPr>
              <w:t xml:space="preserve"> </w:t>
            </w:r>
            <w:r w:rsidRPr="00882E3F">
              <w:rPr>
                <w:b/>
                <w:sz w:val="20"/>
                <w:szCs w:val="20"/>
              </w:rPr>
              <w:t>Elaborarea unui program de pregătire</w:t>
            </w:r>
            <w:r w:rsidRPr="00882E3F">
              <w:rPr>
                <w:sz w:val="20"/>
                <w:szCs w:val="20"/>
              </w:rPr>
              <w:t xml:space="preserve"> a angajaţilor, consecutiv identificării nevoilor de formare. Etape (2 ore)</w:t>
            </w:r>
          </w:p>
        </w:tc>
        <w:tc>
          <w:tcPr>
            <w:tcW w:w="2268" w:type="dxa"/>
            <w:shd w:val="clear" w:color="auto" w:fill="auto"/>
          </w:tcPr>
          <w:p w14:paraId="394C422C" w14:textId="347C9AB7" w:rsidR="008D6EC5" w:rsidRPr="002559F2" w:rsidRDefault="008D6EC5" w:rsidP="008D6EC5">
            <w:pPr>
              <w:rPr>
                <w:sz w:val="22"/>
                <w:szCs w:val="22"/>
              </w:rPr>
            </w:pPr>
            <w:r w:rsidRPr="00CC4378">
              <w:rPr>
                <w:sz w:val="18"/>
                <w:szCs w:val="18"/>
              </w:rPr>
              <w:t>Prelegere (slot-uri de 1o' de teorie, alternativ cu alte metode de activizare), conversație, problematizare</w:t>
            </w:r>
          </w:p>
        </w:tc>
        <w:tc>
          <w:tcPr>
            <w:tcW w:w="4678" w:type="dxa"/>
            <w:shd w:val="clear" w:color="auto" w:fill="auto"/>
          </w:tcPr>
          <w:p w14:paraId="0C14FE76" w14:textId="77777777" w:rsidR="008D6EC5" w:rsidRDefault="008D6EC5" w:rsidP="005878C7">
            <w:pPr>
              <w:pStyle w:val="NoSpacing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882E3F">
              <w:rPr>
                <w:rFonts w:ascii="Times New Roman" w:hAnsi="Times New Roman"/>
                <w:sz w:val="18"/>
                <w:szCs w:val="18"/>
                <w:u w:val="single"/>
                <w:lang w:val="ro-RO"/>
              </w:rPr>
              <w:t>De citit:</w:t>
            </w:r>
            <w:r w:rsidRPr="00882E3F"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 (1) </w:t>
            </w: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>Blanchard, P. N., &amp; Thacker, J. W. (20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13</w:t>
            </w: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). </w:t>
            </w:r>
            <w:r w:rsidRPr="00882E3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Effective training. Systems, strategies and practices</w:t>
            </w: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val="ro-RO"/>
              </w:rPr>
              <w:t>th</w:t>
            </w: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edition). N.J.: Pearson Education, Inc., pp. 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144</w:t>
            </w: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191</w:t>
            </w: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>;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275-311.</w:t>
            </w:r>
          </w:p>
          <w:p w14:paraId="3D936707" w14:textId="77777777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</w:p>
        </w:tc>
      </w:tr>
      <w:tr w:rsidR="008D6EC5" w:rsidRPr="002559F2" w14:paraId="7CDD290F" w14:textId="77777777" w:rsidTr="00F73144">
        <w:tc>
          <w:tcPr>
            <w:tcW w:w="2439" w:type="dxa"/>
            <w:shd w:val="clear" w:color="auto" w:fill="EEECE1" w:themeFill="background2"/>
          </w:tcPr>
          <w:p w14:paraId="64DF0155" w14:textId="02EFD7B1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t>C7:</w:t>
            </w:r>
            <w:r w:rsidRPr="00882E3F">
              <w:rPr>
                <w:sz w:val="20"/>
                <w:szCs w:val="20"/>
              </w:rPr>
              <w:t xml:space="preserve"> </w:t>
            </w:r>
            <w:r w:rsidRPr="00882E3F">
              <w:rPr>
                <w:b/>
                <w:sz w:val="20"/>
                <w:szCs w:val="20"/>
              </w:rPr>
              <w:t>Învăţarea şi instruirea angajaţilor</w:t>
            </w:r>
            <w:r w:rsidRPr="00882E3F">
              <w:rPr>
                <w:sz w:val="20"/>
                <w:szCs w:val="20"/>
              </w:rPr>
              <w:t xml:space="preserve"> – specificitatea vârstei adulte în procesul de învăţare (2 ore)</w:t>
            </w:r>
          </w:p>
        </w:tc>
        <w:tc>
          <w:tcPr>
            <w:tcW w:w="2268" w:type="dxa"/>
            <w:shd w:val="clear" w:color="auto" w:fill="auto"/>
          </w:tcPr>
          <w:p w14:paraId="5A42F5F7" w14:textId="2B482D15" w:rsidR="008D6EC5" w:rsidRPr="002559F2" w:rsidRDefault="008D6EC5" w:rsidP="008D6EC5">
            <w:pPr>
              <w:rPr>
                <w:sz w:val="22"/>
                <w:szCs w:val="22"/>
              </w:rPr>
            </w:pPr>
            <w:r w:rsidRPr="00CC4378">
              <w:rPr>
                <w:sz w:val="18"/>
                <w:szCs w:val="18"/>
              </w:rPr>
              <w:t>Prelegere (slot-uri de 1o' de teorie, alternativ cu alte metode de activizare), conversație, problematizare</w:t>
            </w:r>
          </w:p>
        </w:tc>
        <w:tc>
          <w:tcPr>
            <w:tcW w:w="4678" w:type="dxa"/>
            <w:shd w:val="clear" w:color="auto" w:fill="auto"/>
          </w:tcPr>
          <w:p w14:paraId="55E2E7A3" w14:textId="1C72AE6A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 w:rsidRPr="00882E3F">
              <w:rPr>
                <w:sz w:val="18"/>
                <w:szCs w:val="18"/>
                <w:u w:val="single"/>
              </w:rPr>
              <w:t>De citit:</w:t>
            </w:r>
            <w:r w:rsidRPr="00882E3F">
              <w:rPr>
                <w:sz w:val="18"/>
                <w:szCs w:val="18"/>
              </w:rPr>
              <w:t xml:space="preserve"> (1) Paloş,R., (2007).</w:t>
            </w:r>
            <w:r w:rsidRPr="00882E3F">
              <w:rPr>
                <w:b/>
                <w:sz w:val="18"/>
                <w:szCs w:val="18"/>
              </w:rPr>
              <w:t xml:space="preserve"> </w:t>
            </w:r>
            <w:r w:rsidRPr="00882E3F">
              <w:rPr>
                <w:i/>
                <w:sz w:val="18"/>
                <w:szCs w:val="18"/>
              </w:rPr>
              <w:t>Învăţarea la vârsta adultă.</w:t>
            </w:r>
            <w:r w:rsidRPr="00882E3F">
              <w:rPr>
                <w:b/>
                <w:sz w:val="18"/>
                <w:szCs w:val="18"/>
              </w:rPr>
              <w:t xml:space="preserve"> </w:t>
            </w:r>
            <w:r w:rsidRPr="00882E3F">
              <w:rPr>
                <w:sz w:val="18"/>
                <w:szCs w:val="18"/>
              </w:rPr>
              <w:t xml:space="preserve">Bucureşti: Editura Didactică şi Pedagogică – Colecţia Idei Pedagogice Contemporane, pp. 41-55; (2) Laird, D., Naquin, S. S., &amp; Holton, E. F. (2003). </w:t>
            </w:r>
            <w:r w:rsidRPr="00882E3F">
              <w:rPr>
                <w:i/>
                <w:sz w:val="18"/>
                <w:szCs w:val="18"/>
              </w:rPr>
              <w:t>Approaches to training and development. New perspectives in organizational learning, performances and changes</w:t>
            </w:r>
            <w:r w:rsidRPr="00882E3F">
              <w:rPr>
                <w:sz w:val="18"/>
                <w:szCs w:val="18"/>
              </w:rPr>
              <w:t xml:space="preserve"> (3th edition), pp.125-149. Perseus Books Group. U.S.A.</w:t>
            </w:r>
            <w:r>
              <w:rPr>
                <w:sz w:val="18"/>
                <w:szCs w:val="18"/>
              </w:rPr>
              <w:t xml:space="preserve"> (3) Salas,E., Weaver,S.J., Shuffler,M.L. (2012). Learning, training and development in organizations (pp.17-26). In S.W.J. Kozlowski (edit.), </w:t>
            </w:r>
            <w:r w:rsidRPr="00127EF2">
              <w:rPr>
                <w:i/>
                <w:sz w:val="18"/>
                <w:szCs w:val="18"/>
              </w:rPr>
              <w:t>The Oxford Handbook of Organizational Psychology</w:t>
            </w:r>
            <w:r>
              <w:rPr>
                <w:sz w:val="18"/>
                <w:szCs w:val="18"/>
              </w:rPr>
              <w:t>, vol.1. Oxford University Press. (4)</w:t>
            </w:r>
            <w:r w:rsidRPr="00882E3F">
              <w:rPr>
                <w:sz w:val="18"/>
                <w:szCs w:val="18"/>
              </w:rPr>
              <w:t xml:space="preserve"> Stone, R. (20</w:t>
            </w:r>
            <w:r>
              <w:rPr>
                <w:sz w:val="18"/>
                <w:szCs w:val="18"/>
              </w:rPr>
              <w:t>14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Human resource management</w:t>
            </w:r>
            <w:r w:rsidRPr="00882E3F">
              <w:rPr>
                <w:sz w:val="18"/>
                <w:szCs w:val="18"/>
              </w:rPr>
              <w:t xml:space="preserve">, pp. </w:t>
            </w:r>
            <w:r>
              <w:rPr>
                <w:sz w:val="18"/>
                <w:szCs w:val="18"/>
              </w:rPr>
              <w:t>383</w:t>
            </w:r>
            <w:r w:rsidRPr="00882E3F">
              <w:rPr>
                <w:sz w:val="18"/>
                <w:szCs w:val="18"/>
              </w:rPr>
              <w:t>-3</w:t>
            </w:r>
            <w:r>
              <w:rPr>
                <w:sz w:val="18"/>
                <w:szCs w:val="18"/>
              </w:rPr>
              <w:t>86</w:t>
            </w:r>
            <w:r w:rsidRPr="00882E3F">
              <w:rPr>
                <w:sz w:val="18"/>
                <w:szCs w:val="18"/>
              </w:rPr>
              <w:t>, John, Wiley and Sons, Australia, Ltd.</w:t>
            </w:r>
          </w:p>
        </w:tc>
      </w:tr>
      <w:tr w:rsidR="008D6EC5" w:rsidRPr="002559F2" w14:paraId="6F417B7C" w14:textId="77777777" w:rsidTr="00F73144">
        <w:tc>
          <w:tcPr>
            <w:tcW w:w="2439" w:type="dxa"/>
            <w:shd w:val="clear" w:color="auto" w:fill="EEECE1" w:themeFill="background2"/>
          </w:tcPr>
          <w:p w14:paraId="69F5ADA1" w14:textId="46325AB2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t>C8 – C9:</w:t>
            </w:r>
            <w:r w:rsidRPr="00882E3F">
              <w:rPr>
                <w:sz w:val="20"/>
                <w:szCs w:val="20"/>
              </w:rPr>
              <w:t xml:space="preserve"> </w:t>
            </w:r>
            <w:r w:rsidRPr="00882E3F">
              <w:rPr>
                <w:b/>
                <w:sz w:val="20"/>
                <w:szCs w:val="20"/>
              </w:rPr>
              <w:t>Modalităţi de pregătire şi învăţare</w:t>
            </w:r>
            <w:r w:rsidRPr="00882E3F">
              <w:rPr>
                <w:sz w:val="20"/>
                <w:szCs w:val="20"/>
              </w:rPr>
              <w:t xml:space="preserve"> la locul de muncă şi în afara locului de muncă – tehnici utilizate în cadrul training-urilor (4 ore)</w:t>
            </w:r>
          </w:p>
        </w:tc>
        <w:tc>
          <w:tcPr>
            <w:tcW w:w="2268" w:type="dxa"/>
            <w:shd w:val="clear" w:color="auto" w:fill="auto"/>
          </w:tcPr>
          <w:p w14:paraId="1112D7AD" w14:textId="0AF646DD" w:rsidR="008D6EC5" w:rsidRPr="002559F2" w:rsidRDefault="008D6EC5" w:rsidP="008D6EC5">
            <w:pPr>
              <w:rPr>
                <w:sz w:val="22"/>
                <w:szCs w:val="22"/>
              </w:rPr>
            </w:pPr>
            <w:r w:rsidRPr="0064268C">
              <w:rPr>
                <w:sz w:val="18"/>
                <w:szCs w:val="18"/>
              </w:rPr>
              <w:t>Prelegere (slot-uri de 1o' de teorie, alternativ cu alte metode de activizare), conversație, problematizare</w:t>
            </w:r>
          </w:p>
        </w:tc>
        <w:tc>
          <w:tcPr>
            <w:tcW w:w="4678" w:type="dxa"/>
            <w:shd w:val="clear" w:color="auto" w:fill="auto"/>
          </w:tcPr>
          <w:p w14:paraId="1AE8C7B0" w14:textId="7699DF2A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 w:rsidRPr="00882E3F">
              <w:rPr>
                <w:sz w:val="18"/>
                <w:szCs w:val="18"/>
                <w:u w:val="single"/>
              </w:rPr>
              <w:t>De citit:</w:t>
            </w:r>
            <w:r w:rsidRPr="00882E3F">
              <w:rPr>
                <w:sz w:val="18"/>
                <w:szCs w:val="18"/>
              </w:rPr>
              <w:t xml:space="preserve"> (1) Blanchard, P. N., &amp; Thacker, J. W. (20</w:t>
            </w:r>
            <w:r>
              <w:rPr>
                <w:sz w:val="18"/>
                <w:szCs w:val="18"/>
              </w:rPr>
              <w:t>13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Effective training. Systems, strategies and practices</w:t>
            </w:r>
            <w:r w:rsidRPr="00882E3F">
              <w:rPr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  <w:vertAlign w:val="superscript"/>
              </w:rPr>
              <w:t>th</w:t>
            </w:r>
            <w:r w:rsidRPr="00882E3F">
              <w:rPr>
                <w:sz w:val="18"/>
                <w:szCs w:val="18"/>
              </w:rPr>
              <w:t xml:space="preserve"> edition). N.J.: Pearson Education, Inc., pp. </w:t>
            </w:r>
            <w:r>
              <w:rPr>
                <w:sz w:val="18"/>
                <w:szCs w:val="18"/>
              </w:rPr>
              <w:t>200-236</w:t>
            </w:r>
            <w:r w:rsidRPr="00882E3F">
              <w:rPr>
                <w:sz w:val="18"/>
                <w:szCs w:val="18"/>
              </w:rPr>
              <w:t>. (2) Stone, R. (20</w:t>
            </w:r>
            <w:r>
              <w:rPr>
                <w:sz w:val="18"/>
                <w:szCs w:val="18"/>
              </w:rPr>
              <w:t>14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Human resource management.</w:t>
            </w:r>
            <w:r w:rsidRPr="00882E3F">
              <w:rPr>
                <w:sz w:val="18"/>
                <w:szCs w:val="18"/>
              </w:rPr>
              <w:t xml:space="preserve"> John, Wiley and Sons, Australia, Ltd., pp.3</w:t>
            </w:r>
            <w:r>
              <w:rPr>
                <w:sz w:val="18"/>
                <w:szCs w:val="18"/>
              </w:rPr>
              <w:t>62</w:t>
            </w:r>
            <w:r w:rsidRPr="00882E3F">
              <w:rPr>
                <w:sz w:val="18"/>
                <w:szCs w:val="18"/>
              </w:rPr>
              <w:t>-38</w:t>
            </w:r>
            <w:r>
              <w:rPr>
                <w:sz w:val="18"/>
                <w:szCs w:val="18"/>
              </w:rPr>
              <w:t>3</w:t>
            </w:r>
            <w:r w:rsidRPr="00882E3F">
              <w:rPr>
                <w:sz w:val="18"/>
                <w:szCs w:val="18"/>
              </w:rPr>
              <w:t xml:space="preserve">; (3) Laird, D., Naquin, S. S., &amp; Holton, E. F. (2003). </w:t>
            </w:r>
            <w:r w:rsidRPr="00882E3F">
              <w:rPr>
                <w:i/>
                <w:sz w:val="18"/>
                <w:szCs w:val="18"/>
              </w:rPr>
              <w:t>Approaches to training and development. New perspectives in organizational learning, performances and changes</w:t>
            </w:r>
            <w:r w:rsidRPr="00882E3F">
              <w:rPr>
                <w:sz w:val="18"/>
                <w:szCs w:val="18"/>
              </w:rPr>
              <w:t xml:space="preserve"> (3th edition), pp.183-195. Perseus Books Group. U.S.A.</w:t>
            </w:r>
            <w:r>
              <w:rPr>
                <w:color w:val="000000"/>
                <w:sz w:val="18"/>
                <w:szCs w:val="18"/>
              </w:rPr>
              <w:t xml:space="preserve"> (4) Salas,E., Weaver,S.J., Shuffler,M.L. (2012). Learning, training and development in organizations (pp.26-29). In S.W.J. Kozlowski (edit.), </w:t>
            </w:r>
            <w:r w:rsidRPr="00127EF2">
              <w:rPr>
                <w:i/>
                <w:color w:val="000000"/>
                <w:sz w:val="18"/>
                <w:szCs w:val="18"/>
              </w:rPr>
              <w:t>The Oxford Handbook of Organizational Psychology</w:t>
            </w:r>
            <w:r>
              <w:rPr>
                <w:color w:val="000000"/>
                <w:sz w:val="18"/>
                <w:szCs w:val="18"/>
              </w:rPr>
              <w:t>, vol.1. Oxford University Press.</w:t>
            </w:r>
          </w:p>
        </w:tc>
      </w:tr>
      <w:tr w:rsidR="008D6EC5" w:rsidRPr="002559F2" w14:paraId="29FE3E14" w14:textId="77777777" w:rsidTr="00F73144">
        <w:tc>
          <w:tcPr>
            <w:tcW w:w="2439" w:type="dxa"/>
            <w:shd w:val="clear" w:color="auto" w:fill="EEECE1" w:themeFill="background2"/>
          </w:tcPr>
          <w:p w14:paraId="1C424831" w14:textId="14CE3DC1" w:rsidR="008D6EC5" w:rsidRPr="002559F2" w:rsidRDefault="008D6EC5" w:rsidP="008D6EC5">
            <w:pPr>
              <w:rPr>
                <w:sz w:val="22"/>
                <w:szCs w:val="22"/>
              </w:rPr>
            </w:pPr>
            <w:r w:rsidRPr="00262E34">
              <w:rPr>
                <w:b/>
                <w:sz w:val="20"/>
                <w:szCs w:val="20"/>
              </w:rPr>
              <w:t>C10:</w:t>
            </w:r>
            <w:r w:rsidRPr="00262E34">
              <w:rPr>
                <w:sz w:val="20"/>
                <w:szCs w:val="20"/>
              </w:rPr>
              <w:t xml:space="preserve"> </w:t>
            </w:r>
            <w:r w:rsidRPr="00262E34">
              <w:rPr>
                <w:b/>
                <w:sz w:val="20"/>
                <w:szCs w:val="20"/>
              </w:rPr>
              <w:t>Procesul de orientare (induction) a angajaţilor la nivel de organizaţie</w:t>
            </w:r>
            <w:r w:rsidRPr="00262E34">
              <w:rPr>
                <w:sz w:val="20"/>
                <w:szCs w:val="20"/>
              </w:rPr>
              <w:t xml:space="preserve"> (2 ore)</w:t>
            </w:r>
          </w:p>
        </w:tc>
        <w:tc>
          <w:tcPr>
            <w:tcW w:w="2268" w:type="dxa"/>
            <w:shd w:val="clear" w:color="auto" w:fill="auto"/>
          </w:tcPr>
          <w:p w14:paraId="35D83D3E" w14:textId="250943A9" w:rsidR="008D6EC5" w:rsidRPr="002559F2" w:rsidRDefault="008D6EC5" w:rsidP="008D6EC5">
            <w:pPr>
              <w:rPr>
                <w:sz w:val="22"/>
                <w:szCs w:val="22"/>
              </w:rPr>
            </w:pPr>
            <w:r w:rsidRPr="0064268C">
              <w:rPr>
                <w:sz w:val="18"/>
                <w:szCs w:val="18"/>
              </w:rPr>
              <w:t>Prelegere (slot-uri de 1o' de teorie, alternativ cu alte metode de activizare), conversație, problematizare</w:t>
            </w:r>
          </w:p>
        </w:tc>
        <w:tc>
          <w:tcPr>
            <w:tcW w:w="4678" w:type="dxa"/>
            <w:shd w:val="clear" w:color="auto" w:fill="auto"/>
          </w:tcPr>
          <w:p w14:paraId="43B24B44" w14:textId="0813331D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 w:rsidRPr="00882E3F">
              <w:rPr>
                <w:sz w:val="18"/>
                <w:szCs w:val="18"/>
                <w:u w:val="single"/>
              </w:rPr>
              <w:t>De citit:</w:t>
            </w:r>
            <w:r w:rsidRPr="00882E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(1)</w:t>
            </w:r>
            <w:r w:rsidRPr="00882E3F">
              <w:rPr>
                <w:sz w:val="18"/>
                <w:szCs w:val="18"/>
              </w:rPr>
              <w:t xml:space="preserve"> Stone, R. (20</w:t>
            </w:r>
            <w:r>
              <w:rPr>
                <w:sz w:val="18"/>
                <w:szCs w:val="18"/>
              </w:rPr>
              <w:t>14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Human resource management.</w:t>
            </w:r>
            <w:r w:rsidRPr="00882E3F">
              <w:rPr>
                <w:sz w:val="18"/>
                <w:szCs w:val="18"/>
              </w:rPr>
              <w:t xml:space="preserve"> John, Wiley and Sons, Australia, Ltd., pp.</w:t>
            </w:r>
            <w:r>
              <w:rPr>
                <w:sz w:val="18"/>
                <w:szCs w:val="18"/>
              </w:rPr>
              <w:t xml:space="preserve"> </w:t>
            </w:r>
            <w:r w:rsidRPr="00882E3F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 xml:space="preserve">0-383. (2) </w:t>
            </w:r>
            <w:hyperlink r:id="rId7" w:history="1">
              <w:r w:rsidRPr="00882E3F">
                <w:rPr>
                  <w:rStyle w:val="Hyperlink"/>
                  <w:sz w:val="18"/>
                  <w:szCs w:val="18"/>
                </w:rPr>
                <w:t>www.acas.org.uk</w:t>
              </w:r>
            </w:hyperlink>
            <w:r w:rsidRPr="00882E3F">
              <w:rPr>
                <w:sz w:val="18"/>
                <w:szCs w:val="18"/>
              </w:rPr>
              <w:t xml:space="preserve"> Recruitment and induction – booklet</w:t>
            </w:r>
          </w:p>
        </w:tc>
      </w:tr>
      <w:tr w:rsidR="008D6EC5" w:rsidRPr="002559F2" w14:paraId="4D2C9581" w14:textId="77777777" w:rsidTr="00F73144">
        <w:tc>
          <w:tcPr>
            <w:tcW w:w="2439" w:type="dxa"/>
            <w:shd w:val="clear" w:color="auto" w:fill="EEECE1" w:themeFill="background2"/>
          </w:tcPr>
          <w:p w14:paraId="41448EB9" w14:textId="4723CC7C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t xml:space="preserve">C11: Transferul în învățare: </w:t>
            </w:r>
            <w:r w:rsidRPr="00882E3F">
              <w:rPr>
                <w:sz w:val="20"/>
                <w:szCs w:val="20"/>
              </w:rPr>
              <w:t>factori care stimulează și inhibă transferul</w:t>
            </w:r>
            <w:r w:rsidRPr="00882E3F">
              <w:rPr>
                <w:b/>
                <w:sz w:val="20"/>
                <w:szCs w:val="20"/>
              </w:rPr>
              <w:t xml:space="preserve"> </w:t>
            </w:r>
            <w:r w:rsidRPr="00882E3F">
              <w:rPr>
                <w:sz w:val="20"/>
                <w:szCs w:val="20"/>
              </w:rPr>
              <w:t>(2 ore)</w:t>
            </w:r>
          </w:p>
        </w:tc>
        <w:tc>
          <w:tcPr>
            <w:tcW w:w="2268" w:type="dxa"/>
            <w:shd w:val="clear" w:color="auto" w:fill="auto"/>
          </w:tcPr>
          <w:p w14:paraId="7E242226" w14:textId="6F7566C9" w:rsidR="008D6EC5" w:rsidRPr="002559F2" w:rsidRDefault="008D6EC5" w:rsidP="008D6EC5">
            <w:pPr>
              <w:rPr>
                <w:sz w:val="22"/>
                <w:szCs w:val="22"/>
              </w:rPr>
            </w:pPr>
            <w:r w:rsidRPr="0064268C">
              <w:rPr>
                <w:sz w:val="18"/>
                <w:szCs w:val="18"/>
              </w:rPr>
              <w:t>Prelegere (slot-uri de 1o' de teorie, alternativ cu alte metode de activizare), conversație, problematizare</w:t>
            </w:r>
          </w:p>
        </w:tc>
        <w:tc>
          <w:tcPr>
            <w:tcW w:w="4678" w:type="dxa"/>
            <w:shd w:val="clear" w:color="auto" w:fill="auto"/>
          </w:tcPr>
          <w:p w14:paraId="4B3F0EEE" w14:textId="639CA5E4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 w:rsidRPr="00882E3F">
              <w:rPr>
                <w:sz w:val="18"/>
                <w:szCs w:val="18"/>
                <w:u w:val="single"/>
              </w:rPr>
              <w:t>De citit:</w:t>
            </w:r>
            <w:r w:rsidRPr="00882E3F">
              <w:rPr>
                <w:sz w:val="18"/>
                <w:szCs w:val="18"/>
              </w:rPr>
              <w:t xml:space="preserve"> (1) Blanchard, P. N., &amp; Thacker, J. W. (20</w:t>
            </w:r>
            <w:r>
              <w:rPr>
                <w:sz w:val="18"/>
                <w:szCs w:val="18"/>
              </w:rPr>
              <w:t>13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Effective training. Systems, strategies and practices</w:t>
            </w:r>
            <w:r w:rsidRPr="00882E3F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vertAlign w:val="superscript"/>
              </w:rPr>
              <w:t>th</w:t>
            </w:r>
            <w:r w:rsidRPr="00882E3F">
              <w:rPr>
                <w:sz w:val="18"/>
                <w:szCs w:val="18"/>
              </w:rPr>
              <w:t xml:space="preserve"> edition). N.J.: Pearson Education, Inc., pp. </w:t>
            </w:r>
            <w:r>
              <w:rPr>
                <w:sz w:val="18"/>
                <w:szCs w:val="18"/>
              </w:rPr>
              <w:t xml:space="preserve">275-311. (2) </w:t>
            </w:r>
            <w:r w:rsidRPr="00882E3F">
              <w:rPr>
                <w:sz w:val="18"/>
                <w:szCs w:val="18"/>
              </w:rPr>
              <w:t xml:space="preserve">Laird, D., Naquin, S. S., &amp; Holton, E. F. (2003). </w:t>
            </w:r>
            <w:r w:rsidRPr="00882E3F">
              <w:rPr>
                <w:i/>
                <w:sz w:val="18"/>
                <w:szCs w:val="18"/>
              </w:rPr>
              <w:t>Approaches to training and development. New perspectives in organizational learning, performances and changes</w:t>
            </w:r>
            <w:r w:rsidRPr="00882E3F">
              <w:rPr>
                <w:sz w:val="18"/>
                <w:szCs w:val="18"/>
              </w:rPr>
              <w:t xml:space="preserve"> (3th edition), pp.207-231. Perseus Books Group. U.S.A.</w:t>
            </w:r>
            <w:r>
              <w:rPr>
                <w:sz w:val="18"/>
                <w:szCs w:val="18"/>
              </w:rPr>
              <w:t xml:space="preserve"> (3) Salas,E., Weaver,S.J., Shuffler,M.L. (2012). Learning, training and development in organizations (pp.35-37). In S.W.J. Kozlowski (edit.), </w:t>
            </w:r>
            <w:r w:rsidRPr="00127EF2">
              <w:rPr>
                <w:i/>
                <w:sz w:val="18"/>
                <w:szCs w:val="18"/>
              </w:rPr>
              <w:t>The Oxford Handbook of Organizational Psychology</w:t>
            </w:r>
            <w:r>
              <w:rPr>
                <w:sz w:val="18"/>
                <w:szCs w:val="18"/>
              </w:rPr>
              <w:t>, vol.1. Oxford University Press.</w:t>
            </w:r>
          </w:p>
        </w:tc>
      </w:tr>
      <w:tr w:rsidR="008D6EC5" w:rsidRPr="002559F2" w14:paraId="29CB5DA5" w14:textId="77777777" w:rsidTr="00F73144">
        <w:tc>
          <w:tcPr>
            <w:tcW w:w="2439" w:type="dxa"/>
            <w:shd w:val="clear" w:color="auto" w:fill="EEECE1" w:themeFill="background2"/>
          </w:tcPr>
          <w:p w14:paraId="13BD6AF3" w14:textId="436893CD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t>C12:</w:t>
            </w:r>
            <w:r w:rsidRPr="00882E3F">
              <w:rPr>
                <w:sz w:val="20"/>
                <w:szCs w:val="20"/>
              </w:rPr>
              <w:t xml:space="preserve"> </w:t>
            </w:r>
            <w:r w:rsidRPr="00882E3F">
              <w:rPr>
                <w:b/>
                <w:sz w:val="20"/>
                <w:szCs w:val="20"/>
              </w:rPr>
              <w:t>Evaluarea programului de training</w:t>
            </w:r>
            <w:r w:rsidRPr="00882E3F">
              <w:rPr>
                <w:sz w:val="20"/>
                <w:szCs w:val="20"/>
              </w:rPr>
              <w:t xml:space="preserve"> (2 ore)</w:t>
            </w:r>
          </w:p>
        </w:tc>
        <w:tc>
          <w:tcPr>
            <w:tcW w:w="2268" w:type="dxa"/>
            <w:shd w:val="clear" w:color="auto" w:fill="auto"/>
          </w:tcPr>
          <w:p w14:paraId="64BCA047" w14:textId="05F5164C" w:rsidR="008D6EC5" w:rsidRPr="002559F2" w:rsidRDefault="008D6EC5" w:rsidP="008D6EC5">
            <w:pPr>
              <w:rPr>
                <w:sz w:val="22"/>
                <w:szCs w:val="22"/>
              </w:rPr>
            </w:pPr>
            <w:r w:rsidRPr="00F44379">
              <w:rPr>
                <w:sz w:val="18"/>
                <w:szCs w:val="18"/>
              </w:rPr>
              <w:t>Prelegere</w:t>
            </w:r>
            <w:r>
              <w:rPr>
                <w:sz w:val="18"/>
                <w:szCs w:val="18"/>
              </w:rPr>
              <w:t xml:space="preserve"> (slot-uri de 1o' de teorie, alternativ cu alte metode de activizare)</w:t>
            </w:r>
            <w:r w:rsidRPr="00F44379">
              <w:rPr>
                <w:sz w:val="18"/>
                <w:szCs w:val="18"/>
              </w:rPr>
              <w:t>, conversație</w:t>
            </w:r>
            <w:r>
              <w:rPr>
                <w:sz w:val="18"/>
                <w:szCs w:val="18"/>
              </w:rPr>
              <w:t>, problematizare</w:t>
            </w:r>
          </w:p>
        </w:tc>
        <w:tc>
          <w:tcPr>
            <w:tcW w:w="4678" w:type="dxa"/>
            <w:shd w:val="clear" w:color="auto" w:fill="auto"/>
          </w:tcPr>
          <w:p w14:paraId="335D9FE2" w14:textId="0B950B2D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 w:rsidRPr="00882E3F">
              <w:rPr>
                <w:sz w:val="18"/>
                <w:szCs w:val="18"/>
                <w:u w:val="single"/>
              </w:rPr>
              <w:t>De citit:</w:t>
            </w:r>
            <w:r w:rsidRPr="00882E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(1)</w:t>
            </w:r>
            <w:r w:rsidRPr="00882E3F">
              <w:rPr>
                <w:sz w:val="18"/>
                <w:szCs w:val="18"/>
              </w:rPr>
              <w:t xml:space="preserve"> 1) Blanchard, P. N., &amp; Thacker, J. W. (20</w:t>
            </w:r>
            <w:r>
              <w:rPr>
                <w:sz w:val="18"/>
                <w:szCs w:val="18"/>
              </w:rPr>
              <w:t>13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Effective training. Systems, strategies and practices</w:t>
            </w:r>
            <w:r w:rsidRPr="00882E3F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vertAlign w:val="superscript"/>
              </w:rPr>
              <w:t>th</w:t>
            </w:r>
            <w:r w:rsidRPr="00882E3F">
              <w:rPr>
                <w:sz w:val="18"/>
                <w:szCs w:val="18"/>
              </w:rPr>
              <w:t xml:space="preserve"> edition). N.J.: Pearson Education, Inc., pp. </w:t>
            </w:r>
            <w:r>
              <w:rPr>
                <w:sz w:val="18"/>
                <w:szCs w:val="18"/>
              </w:rPr>
              <w:t>315-345</w:t>
            </w:r>
            <w:r w:rsidRPr="00882E3F">
              <w:rPr>
                <w:sz w:val="18"/>
                <w:szCs w:val="18"/>
              </w:rPr>
              <w:t xml:space="preserve">; (2) Laird, D., Naquin, S. S., &amp; Holton, E. F. (2003). </w:t>
            </w:r>
            <w:r w:rsidRPr="00882E3F">
              <w:rPr>
                <w:i/>
                <w:sz w:val="18"/>
                <w:szCs w:val="18"/>
              </w:rPr>
              <w:t>Approaches to training and development. New perspectives in organizational learning, performances and changes</w:t>
            </w:r>
            <w:r w:rsidRPr="00882E3F">
              <w:rPr>
                <w:sz w:val="18"/>
                <w:szCs w:val="18"/>
              </w:rPr>
              <w:t xml:space="preserve"> (3th edition), pp.255-281. Perseus Books Group. U.S.A.</w:t>
            </w:r>
            <w:r>
              <w:rPr>
                <w:sz w:val="18"/>
                <w:szCs w:val="18"/>
              </w:rPr>
              <w:t xml:space="preserve"> (3) Salas,E., Weaver,S.J., Shuffler,M.L. (2012). Learning, training and development in organizations (pp.37-41). In S.W.J. Kozlowski (edit.), </w:t>
            </w:r>
            <w:r w:rsidRPr="00127EF2">
              <w:rPr>
                <w:i/>
                <w:sz w:val="18"/>
                <w:szCs w:val="18"/>
              </w:rPr>
              <w:t>The Oxford Handbook of Organizational Psychology</w:t>
            </w:r>
            <w:r>
              <w:rPr>
                <w:sz w:val="18"/>
                <w:szCs w:val="18"/>
              </w:rPr>
              <w:t>, vol.1. Oxford University Press.</w:t>
            </w:r>
          </w:p>
        </w:tc>
      </w:tr>
      <w:tr w:rsidR="008D6EC5" w:rsidRPr="002559F2" w14:paraId="0C6513DB" w14:textId="77777777" w:rsidTr="00F73144">
        <w:tc>
          <w:tcPr>
            <w:tcW w:w="2439" w:type="dxa"/>
            <w:shd w:val="clear" w:color="auto" w:fill="EEECE1" w:themeFill="background2"/>
          </w:tcPr>
          <w:p w14:paraId="6CE772EA" w14:textId="1DFB08C0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t>C13: Dezvoltarea şi planificarea carierei</w:t>
            </w:r>
            <w:r w:rsidRPr="00882E3F">
              <w:rPr>
                <w:sz w:val="20"/>
                <w:szCs w:val="20"/>
              </w:rPr>
              <w:t>. Planul de dezvoltare personală (2 ore)</w:t>
            </w:r>
          </w:p>
        </w:tc>
        <w:tc>
          <w:tcPr>
            <w:tcW w:w="2268" w:type="dxa"/>
            <w:shd w:val="clear" w:color="auto" w:fill="auto"/>
          </w:tcPr>
          <w:p w14:paraId="0630657C" w14:textId="26651D08" w:rsidR="008D6EC5" w:rsidRPr="002559F2" w:rsidRDefault="008D6EC5" w:rsidP="008D6EC5">
            <w:pPr>
              <w:rPr>
                <w:sz w:val="22"/>
                <w:szCs w:val="22"/>
              </w:rPr>
            </w:pPr>
            <w:r w:rsidRPr="00B53416">
              <w:rPr>
                <w:sz w:val="18"/>
                <w:szCs w:val="18"/>
              </w:rPr>
              <w:t>Prelegere (slot-uri de 1o' de teorie, alternativ cu alte metode de activizare), conversație, problematizare</w:t>
            </w:r>
          </w:p>
        </w:tc>
        <w:tc>
          <w:tcPr>
            <w:tcW w:w="4678" w:type="dxa"/>
            <w:shd w:val="clear" w:color="auto" w:fill="auto"/>
          </w:tcPr>
          <w:p w14:paraId="09B1FDDF" w14:textId="6FDA6DAC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 w:rsidRPr="00882E3F">
              <w:rPr>
                <w:sz w:val="18"/>
                <w:szCs w:val="18"/>
                <w:u w:val="single"/>
              </w:rPr>
              <w:t>De citit:</w:t>
            </w:r>
            <w:r w:rsidRPr="00882E3F">
              <w:rPr>
                <w:sz w:val="18"/>
                <w:szCs w:val="18"/>
              </w:rPr>
              <w:t xml:space="preserve"> (1) Stone, R. (20</w:t>
            </w:r>
            <w:r>
              <w:rPr>
                <w:sz w:val="18"/>
                <w:szCs w:val="18"/>
              </w:rPr>
              <w:t>14</w:t>
            </w:r>
            <w:r w:rsidRPr="00882E3F">
              <w:rPr>
                <w:sz w:val="18"/>
                <w:szCs w:val="18"/>
              </w:rPr>
              <w:t xml:space="preserve">). </w:t>
            </w:r>
            <w:r w:rsidRPr="00882E3F">
              <w:rPr>
                <w:i/>
                <w:sz w:val="18"/>
                <w:szCs w:val="18"/>
              </w:rPr>
              <w:t>Human resource management.</w:t>
            </w:r>
            <w:r w:rsidRPr="00882E3F">
              <w:rPr>
                <w:sz w:val="18"/>
                <w:szCs w:val="18"/>
              </w:rPr>
              <w:t xml:space="preserve"> John, Wiley and Sons, Australia, Ltd., pp. 3</w:t>
            </w:r>
            <w:r>
              <w:rPr>
                <w:sz w:val="18"/>
                <w:szCs w:val="18"/>
              </w:rPr>
              <w:t>98</w:t>
            </w:r>
            <w:r w:rsidRPr="00882E3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417</w:t>
            </w:r>
            <w:r w:rsidRPr="00882E3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(2) </w:t>
            </w:r>
            <w:r w:rsidRPr="00161D2D">
              <w:rPr>
                <w:rStyle w:val="fontstyle21"/>
                <w:sz w:val="18"/>
                <w:szCs w:val="18"/>
              </w:rPr>
              <w:t>DeRosa,M., &amp; Brinkman Doyle,S.</w:t>
            </w:r>
            <w:r>
              <w:rPr>
                <w:rStyle w:val="fontstyle21"/>
                <w:sz w:val="18"/>
                <w:szCs w:val="18"/>
              </w:rPr>
              <w:t xml:space="preserve"> </w:t>
            </w:r>
            <w:r w:rsidRPr="00161D2D">
              <w:rPr>
                <w:rStyle w:val="fontstyle21"/>
                <w:sz w:val="18"/>
                <w:szCs w:val="18"/>
              </w:rPr>
              <w:t>(2010)</w:t>
            </w:r>
            <w:r>
              <w:rPr>
                <w:rStyle w:val="fontstyle21"/>
                <w:sz w:val="18"/>
                <w:szCs w:val="18"/>
              </w:rPr>
              <w:t xml:space="preserve">. </w:t>
            </w:r>
            <w:r w:rsidRPr="00501509">
              <w:rPr>
                <w:rStyle w:val="fontstyle01"/>
                <w:sz w:val="18"/>
                <w:szCs w:val="18"/>
              </w:rPr>
              <w:t>Acknowledging and Addressing Components</w:t>
            </w:r>
            <w:r>
              <w:rPr>
                <w:rStyle w:val="fontstyle01"/>
                <w:sz w:val="18"/>
                <w:szCs w:val="18"/>
              </w:rPr>
              <w:t xml:space="preserve"> </w:t>
            </w:r>
            <w:r w:rsidRPr="00C3066A">
              <w:rPr>
                <w:rStyle w:val="fontstyle01"/>
                <w:sz w:val="18"/>
                <w:szCs w:val="18"/>
              </w:rPr>
              <w:t>of Career Fitness</w:t>
            </w:r>
            <w:r>
              <w:rPr>
                <w:rStyle w:val="fontstyle01"/>
                <w:sz w:val="18"/>
                <w:szCs w:val="18"/>
              </w:rPr>
              <w:t xml:space="preserve"> (pp.131-151). In R. Elsdon (ed.), </w:t>
            </w:r>
            <w:r w:rsidRPr="00AA78C4">
              <w:rPr>
                <w:bCs/>
                <w:i/>
                <w:color w:val="000000"/>
                <w:sz w:val="18"/>
                <w:szCs w:val="18"/>
              </w:rPr>
              <w:t>Building Workforce Strength</w:t>
            </w:r>
            <w:r>
              <w:rPr>
                <w:bCs/>
                <w:i/>
                <w:color w:val="000000"/>
                <w:sz w:val="18"/>
                <w:szCs w:val="18"/>
              </w:rPr>
              <w:t>.</w:t>
            </w:r>
            <w:r w:rsidRPr="00C3066A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61D2D">
              <w:rPr>
                <w:i/>
                <w:iCs/>
                <w:color w:val="000000"/>
                <w:sz w:val="18"/>
                <w:szCs w:val="18"/>
              </w:rPr>
              <w:t>Creating Value through Workforce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61D2D">
              <w:rPr>
                <w:i/>
                <w:iCs/>
                <w:color w:val="000000"/>
                <w:sz w:val="18"/>
                <w:szCs w:val="18"/>
              </w:rPr>
              <w:t>and Career Development</w:t>
            </w:r>
            <w:r w:rsidRPr="00C3066A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161D2D">
              <w:rPr>
                <w:iCs/>
                <w:color w:val="000000"/>
                <w:sz w:val="18"/>
                <w:szCs w:val="18"/>
              </w:rPr>
              <w:t>Santa Barbara: PRAEGER</w:t>
            </w:r>
            <w:r>
              <w:rPr>
                <w:iCs/>
                <w:color w:val="000000"/>
                <w:sz w:val="18"/>
                <w:szCs w:val="18"/>
              </w:rPr>
              <w:t>, Ca.</w:t>
            </w:r>
          </w:p>
        </w:tc>
      </w:tr>
      <w:tr w:rsidR="008D6EC5" w:rsidRPr="002559F2" w14:paraId="3023D1F9" w14:textId="77777777" w:rsidTr="00F73144">
        <w:tc>
          <w:tcPr>
            <w:tcW w:w="2439" w:type="dxa"/>
            <w:shd w:val="clear" w:color="auto" w:fill="EEECE1" w:themeFill="background2"/>
          </w:tcPr>
          <w:p w14:paraId="109D86A3" w14:textId="428B6918" w:rsidR="008D6EC5" w:rsidRPr="002559F2" w:rsidRDefault="008D6EC5" w:rsidP="008D6EC5">
            <w:pPr>
              <w:rPr>
                <w:sz w:val="22"/>
                <w:szCs w:val="22"/>
              </w:rPr>
            </w:pPr>
            <w:r w:rsidRPr="00882E3F">
              <w:rPr>
                <w:b/>
                <w:sz w:val="20"/>
                <w:szCs w:val="20"/>
              </w:rPr>
              <w:t xml:space="preserve">C14: Dezvoltarea trainerilor și a facilitatorilor </w:t>
            </w:r>
            <w:r w:rsidRPr="00882E3F">
              <w:rPr>
                <w:sz w:val="20"/>
                <w:szCs w:val="20"/>
              </w:rPr>
              <w:t>(2 ore)</w:t>
            </w:r>
          </w:p>
        </w:tc>
        <w:tc>
          <w:tcPr>
            <w:tcW w:w="2268" w:type="dxa"/>
            <w:shd w:val="clear" w:color="auto" w:fill="auto"/>
          </w:tcPr>
          <w:p w14:paraId="0642CF4B" w14:textId="101770F5" w:rsidR="008D6EC5" w:rsidRPr="002559F2" w:rsidRDefault="008D6EC5" w:rsidP="008D6EC5">
            <w:pPr>
              <w:rPr>
                <w:sz w:val="22"/>
                <w:szCs w:val="22"/>
              </w:rPr>
            </w:pPr>
            <w:r w:rsidRPr="00B53416">
              <w:rPr>
                <w:sz w:val="18"/>
                <w:szCs w:val="18"/>
              </w:rPr>
              <w:t>Prelegere (slot-uri de 1o' de teorie, alternativ cu alte metode de activizare), conversație, problematizare</w:t>
            </w:r>
          </w:p>
        </w:tc>
        <w:tc>
          <w:tcPr>
            <w:tcW w:w="4678" w:type="dxa"/>
            <w:shd w:val="clear" w:color="auto" w:fill="auto"/>
          </w:tcPr>
          <w:p w14:paraId="4C172CF0" w14:textId="29AE65C2" w:rsidR="008D6EC5" w:rsidRPr="002559F2" w:rsidRDefault="008D6EC5" w:rsidP="005878C7">
            <w:pPr>
              <w:jc w:val="both"/>
              <w:rPr>
                <w:sz w:val="22"/>
                <w:szCs w:val="22"/>
              </w:rPr>
            </w:pPr>
            <w:r w:rsidRPr="00882E3F">
              <w:rPr>
                <w:sz w:val="18"/>
                <w:szCs w:val="18"/>
                <w:u w:val="single"/>
              </w:rPr>
              <w:t>De citit:</w:t>
            </w:r>
            <w:r w:rsidRPr="00882E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Pr="00882E3F">
              <w:rPr>
                <w:sz w:val="18"/>
                <w:szCs w:val="18"/>
              </w:rPr>
              <w:t xml:space="preserve">1) Charney, C., &amp; Conway, K. (2005). </w:t>
            </w:r>
            <w:r w:rsidRPr="00882E3F">
              <w:rPr>
                <w:i/>
                <w:sz w:val="18"/>
                <w:szCs w:val="18"/>
              </w:rPr>
              <w:t xml:space="preserve">The trainerʼs tool kit, </w:t>
            </w:r>
            <w:r w:rsidRPr="00882E3F">
              <w:rPr>
                <w:sz w:val="18"/>
                <w:szCs w:val="18"/>
              </w:rPr>
              <w:t>pp.175-181. N.Y.: American Management Association.</w:t>
            </w:r>
          </w:p>
        </w:tc>
      </w:tr>
      <w:tr w:rsidR="00E0255D" w:rsidRPr="002559F2" w14:paraId="40DC4846" w14:textId="77777777" w:rsidTr="00F73144">
        <w:tc>
          <w:tcPr>
            <w:tcW w:w="9385" w:type="dxa"/>
            <w:gridSpan w:val="3"/>
            <w:shd w:val="clear" w:color="auto" w:fill="EEECE1" w:themeFill="background2"/>
          </w:tcPr>
          <w:p w14:paraId="6E1EA7E4" w14:textId="70B24174" w:rsidR="00E0255D" w:rsidRPr="003C038C" w:rsidRDefault="003C038C" w:rsidP="00752E1C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 (selectivă)</w:t>
            </w:r>
            <w:r w:rsidR="00E0255D" w:rsidRPr="003C038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:</w:t>
            </w:r>
          </w:p>
          <w:p w14:paraId="288277DE" w14:textId="600E410D" w:rsidR="005F4B27" w:rsidRPr="009C677B" w:rsidRDefault="005F4B27" w:rsidP="00F80A2A">
            <w:pPr>
              <w:pStyle w:val="NoSpacing"/>
              <w:numPr>
                <w:ilvl w:val="0"/>
                <w:numId w:val="31"/>
              </w:numPr>
              <w:ind w:left="318" w:hanging="284"/>
              <w:jc w:val="both"/>
              <w:rPr>
                <w:rFonts w:ascii="Times New Roman" w:hAnsi="Times New Roman"/>
                <w:color w:val="0070C0"/>
                <w:sz w:val="18"/>
                <w:szCs w:val="18"/>
                <w:lang w:val="ro-RO"/>
              </w:rPr>
            </w:pPr>
            <w:r w:rsidRPr="009C677B">
              <w:rPr>
                <w:rFonts w:ascii="Times New Roman" w:hAnsi="Times New Roman"/>
                <w:color w:val="0070C0"/>
                <w:sz w:val="18"/>
                <w:szCs w:val="18"/>
              </w:rPr>
              <w:t xml:space="preserve">Blanchard, P. N., &amp; Thacker, J. W. (2013). </w:t>
            </w:r>
            <w:r w:rsidRPr="009C677B">
              <w:rPr>
                <w:rFonts w:ascii="Times New Roman" w:hAnsi="Times New Roman"/>
                <w:i/>
                <w:color w:val="0070C0"/>
                <w:sz w:val="18"/>
                <w:szCs w:val="18"/>
              </w:rPr>
              <w:t xml:space="preserve">Effective training. Systems, </w:t>
            </w:r>
            <w:proofErr w:type="gramStart"/>
            <w:r w:rsidRPr="009C677B">
              <w:rPr>
                <w:rFonts w:ascii="Times New Roman" w:hAnsi="Times New Roman"/>
                <w:i/>
                <w:color w:val="0070C0"/>
                <w:sz w:val="18"/>
                <w:szCs w:val="18"/>
              </w:rPr>
              <w:t>strategies</w:t>
            </w:r>
            <w:proofErr w:type="gramEnd"/>
            <w:r w:rsidRPr="009C677B">
              <w:rPr>
                <w:rFonts w:ascii="Times New Roman" w:hAnsi="Times New Roman"/>
                <w:i/>
                <w:color w:val="0070C0"/>
                <w:sz w:val="18"/>
                <w:szCs w:val="18"/>
              </w:rPr>
              <w:t xml:space="preserve"> and practices</w:t>
            </w:r>
            <w:r w:rsidRPr="009C677B">
              <w:rPr>
                <w:rFonts w:ascii="Times New Roman" w:hAnsi="Times New Roman"/>
                <w:color w:val="0070C0"/>
                <w:sz w:val="18"/>
                <w:szCs w:val="18"/>
              </w:rPr>
              <w:t xml:space="preserve"> (5</w:t>
            </w:r>
            <w:r w:rsidRPr="009C677B">
              <w:rPr>
                <w:rFonts w:ascii="Times New Roman" w:hAnsi="Times New Roman"/>
                <w:color w:val="0070C0"/>
                <w:sz w:val="18"/>
                <w:szCs w:val="18"/>
                <w:vertAlign w:val="superscript"/>
              </w:rPr>
              <w:t>th</w:t>
            </w:r>
            <w:r w:rsidRPr="009C677B">
              <w:rPr>
                <w:rFonts w:ascii="Times New Roman" w:hAnsi="Times New Roman"/>
                <w:color w:val="0070C0"/>
                <w:sz w:val="18"/>
                <w:szCs w:val="18"/>
              </w:rPr>
              <w:t xml:space="preserve"> edition). N.J.: Pearson Education, Inc.</w:t>
            </w:r>
          </w:p>
          <w:p w14:paraId="1CD7209E" w14:textId="61CA49EA" w:rsidR="00F80A2A" w:rsidRPr="00F44379" w:rsidRDefault="00F80A2A" w:rsidP="00F80A2A">
            <w:pPr>
              <w:pStyle w:val="NoSpacing"/>
              <w:numPr>
                <w:ilvl w:val="0"/>
                <w:numId w:val="31"/>
              </w:numPr>
              <w:ind w:left="318" w:hanging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Laird, D., Naquin, S. S., &amp; Holton, E. F. (2003). </w:t>
            </w:r>
            <w:r w:rsidRPr="00F4437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Approaches to training and development. New perspectives in organizational learning, performances and changes</w:t>
            </w: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(3th edition). Perseus Books Group. U.S.A.  </w:t>
            </w:r>
          </w:p>
          <w:p w14:paraId="040B0FCA" w14:textId="77777777" w:rsidR="00F80A2A" w:rsidRPr="00F44379" w:rsidRDefault="00F80A2A" w:rsidP="00F80A2A">
            <w:pPr>
              <w:pStyle w:val="NoSpacing"/>
              <w:numPr>
                <w:ilvl w:val="0"/>
                <w:numId w:val="31"/>
              </w:numPr>
              <w:ind w:left="318" w:hanging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Moskowitz, M. (2008). </w:t>
            </w:r>
            <w:r w:rsidRPr="00F4437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A practical guide to training and development. Assess, design, deliver and evaluate</w:t>
            </w: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. Pfeiffer, John, Wiley &amp; Sons, Inc.</w:t>
            </w:r>
          </w:p>
          <w:p w14:paraId="107DB02C" w14:textId="6FEE46C2" w:rsidR="00E0255D" w:rsidRPr="002559F2" w:rsidRDefault="00F80A2A" w:rsidP="003C038C">
            <w:pPr>
              <w:pStyle w:val="NoSpacing"/>
              <w:numPr>
                <w:ilvl w:val="0"/>
                <w:numId w:val="31"/>
              </w:numPr>
              <w:ind w:left="349" w:hanging="349"/>
              <w:jc w:val="both"/>
              <w:rPr>
                <w:rFonts w:ascii="Times New Roman" w:hAnsi="Times New Roman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Charney, C., &amp; Conway, K. (2005). </w:t>
            </w:r>
            <w:r w:rsidRPr="00F4437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The trainerʼs tool kit</w:t>
            </w: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. N.Y.: American Management Association</w:t>
            </w:r>
          </w:p>
        </w:tc>
      </w:tr>
    </w:tbl>
    <w:p w14:paraId="07A1A7CB" w14:textId="77777777" w:rsidR="00F90CB2" w:rsidRDefault="00F90CB2"/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6"/>
        <w:gridCol w:w="1701"/>
        <w:gridCol w:w="4678"/>
      </w:tblGrid>
      <w:tr w:rsidR="00802D13" w:rsidRPr="002559F2" w14:paraId="7C5F1B96" w14:textId="77777777" w:rsidTr="00F73144">
        <w:tc>
          <w:tcPr>
            <w:tcW w:w="3006" w:type="dxa"/>
            <w:shd w:val="clear" w:color="auto" w:fill="EEECE1" w:themeFill="background2"/>
          </w:tcPr>
          <w:p w14:paraId="0CA282A9" w14:textId="018FE06F" w:rsidR="00802D13" w:rsidRPr="00F90CB2" w:rsidRDefault="00F90CB2" w:rsidP="00802D13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802D13" w:rsidRPr="00F90CB2">
              <w:rPr>
                <w:rFonts w:ascii="Times New Roman" w:hAnsi="Times New Roman"/>
                <w:b/>
              </w:rPr>
              <w:t xml:space="preserve">.2 Seminar / </w:t>
            </w:r>
            <w:r w:rsidR="00802D13" w:rsidRPr="00F90CB2">
              <w:rPr>
                <w:rFonts w:ascii="Times New Roman" w:hAnsi="Times New Roman"/>
                <w:b/>
                <w:lang w:val="ro-RO"/>
              </w:rPr>
              <w:t>laborator</w:t>
            </w:r>
          </w:p>
        </w:tc>
        <w:tc>
          <w:tcPr>
            <w:tcW w:w="1701" w:type="dxa"/>
            <w:shd w:val="clear" w:color="auto" w:fill="EEECE1" w:themeFill="background2"/>
          </w:tcPr>
          <w:p w14:paraId="517B4358" w14:textId="0C9FBF1E" w:rsidR="00802D13" w:rsidRPr="00F90CB2" w:rsidRDefault="00802D13" w:rsidP="00F90CB2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F90CB2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4678" w:type="dxa"/>
            <w:shd w:val="clear" w:color="auto" w:fill="EEECE1" w:themeFill="background2"/>
          </w:tcPr>
          <w:p w14:paraId="1DE1D96E" w14:textId="14B2FBD2" w:rsidR="00802D13" w:rsidRPr="00F90CB2" w:rsidRDefault="00802D13" w:rsidP="00F90CB2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F90CB2">
              <w:rPr>
                <w:rFonts w:ascii="Times New Roman" w:hAnsi="Times New Roman"/>
                <w:b/>
                <w:lang w:val="ro-RO"/>
              </w:rPr>
              <w:t>Observații</w:t>
            </w:r>
          </w:p>
        </w:tc>
      </w:tr>
      <w:tr w:rsidR="00FD2516" w:rsidRPr="002559F2" w14:paraId="04894FAF" w14:textId="77777777" w:rsidTr="00F73144">
        <w:tc>
          <w:tcPr>
            <w:tcW w:w="3006" w:type="dxa"/>
            <w:shd w:val="clear" w:color="auto" w:fill="EEECE1" w:themeFill="background2"/>
          </w:tcPr>
          <w:p w14:paraId="5DEFB08A" w14:textId="6248AC1B" w:rsidR="00FD2516" w:rsidRPr="002559F2" w:rsidRDefault="00FD2516" w:rsidP="00F90CB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S1: Dezvoltarea resurselor umane: </w:t>
            </w:r>
            <w:r w:rsidRPr="00882E3F">
              <w:rPr>
                <w:rFonts w:ascii="Times New Roman" w:hAnsi="Times New Roman"/>
                <w:sz w:val="20"/>
                <w:szCs w:val="20"/>
                <w:lang w:val="ro-RO"/>
              </w:rPr>
              <w:t>modelul Dreyfus privind dezvoltarea competenţelor profesionale.</w:t>
            </w: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Pr="00882E3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Aplicație (2 ore)</w:t>
            </w:r>
          </w:p>
        </w:tc>
        <w:tc>
          <w:tcPr>
            <w:tcW w:w="1701" w:type="dxa"/>
            <w:shd w:val="clear" w:color="auto" w:fill="auto"/>
          </w:tcPr>
          <w:p w14:paraId="467F34A5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Studiu de caz,</w:t>
            </w:r>
          </w:p>
          <w:p w14:paraId="19136667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Lucru în grup,</w:t>
            </w:r>
          </w:p>
          <w:p w14:paraId="4F5484C9" w14:textId="62161F2B" w:rsidR="00FD2516" w:rsidRPr="002559F2" w:rsidRDefault="00FD2516" w:rsidP="00C57BE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Conversație</w:t>
            </w:r>
          </w:p>
        </w:tc>
        <w:tc>
          <w:tcPr>
            <w:tcW w:w="4678" w:type="dxa"/>
            <w:shd w:val="clear" w:color="auto" w:fill="auto"/>
          </w:tcPr>
          <w:p w14:paraId="7876E703" w14:textId="145C93C0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>Se lucrează pe un studiu de caz pentru a identifica stadiile propuse de modelul Dreyfus al dezvoltării competențelor profesionale.</w:t>
            </w:r>
          </w:p>
        </w:tc>
      </w:tr>
      <w:tr w:rsidR="00FD2516" w:rsidRPr="002559F2" w14:paraId="18DD56B5" w14:textId="77777777" w:rsidTr="00F73144">
        <w:tc>
          <w:tcPr>
            <w:tcW w:w="3006" w:type="dxa"/>
            <w:shd w:val="clear" w:color="auto" w:fill="EEECE1" w:themeFill="background2"/>
          </w:tcPr>
          <w:p w14:paraId="03C669FA" w14:textId="18FF6D1D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S2: Analiza de nevoi la nivel organizațional, de post și de individ. </w:t>
            </w:r>
            <w:r w:rsidRPr="00882E3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Aplicație (2 ore)</w:t>
            </w: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3DAC167C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Studiu de caz,</w:t>
            </w:r>
          </w:p>
          <w:p w14:paraId="0DE76CBD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Lucru în grup,</w:t>
            </w:r>
          </w:p>
          <w:p w14:paraId="6DDC5DAE" w14:textId="05B6A3BE" w:rsidR="00FD2516" w:rsidRPr="002559F2" w:rsidRDefault="00FD2516" w:rsidP="00C57BE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Conversație</w:t>
            </w:r>
          </w:p>
        </w:tc>
        <w:tc>
          <w:tcPr>
            <w:tcW w:w="4678" w:type="dxa"/>
            <w:shd w:val="clear" w:color="auto" w:fill="auto"/>
          </w:tcPr>
          <w:p w14:paraId="3A02CF74" w14:textId="1D546CBF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>Se face analiza necesităților de formare și dezvoltare la cele trei nivel</w:t>
            </w:r>
            <w:r w:rsidR="00084CF2">
              <w:rPr>
                <w:rFonts w:ascii="Times New Roman" w:hAnsi="Times New Roman"/>
                <w:sz w:val="18"/>
                <w:szCs w:val="18"/>
                <w:lang w:val="ro-RO"/>
              </w:rPr>
              <w:t>uri</w:t>
            </w: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>: nivel de organizaţie, nivel de post şi nivel individual pe un caz concret.</w:t>
            </w:r>
          </w:p>
        </w:tc>
      </w:tr>
      <w:tr w:rsidR="00FD2516" w:rsidRPr="002559F2" w14:paraId="33F8A023" w14:textId="77777777" w:rsidTr="00F73144">
        <w:tc>
          <w:tcPr>
            <w:tcW w:w="3006" w:type="dxa"/>
            <w:shd w:val="clear" w:color="auto" w:fill="EEECE1" w:themeFill="background2"/>
          </w:tcPr>
          <w:p w14:paraId="3DDF314B" w14:textId="1A09BB31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S3:</w:t>
            </w: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Proiectarea unui program de trai</w:t>
            </w: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ning pe baza nevoilor identificate.</w:t>
            </w:r>
            <w:r w:rsidRPr="00882E3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Aplicație (2 ore)</w:t>
            </w:r>
          </w:p>
        </w:tc>
        <w:tc>
          <w:tcPr>
            <w:tcW w:w="1701" w:type="dxa"/>
            <w:shd w:val="clear" w:color="auto" w:fill="auto"/>
          </w:tcPr>
          <w:p w14:paraId="6BBCCE52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Studiu de caz,</w:t>
            </w:r>
          </w:p>
          <w:p w14:paraId="454413A1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Lucru în grup,</w:t>
            </w:r>
          </w:p>
          <w:p w14:paraId="3672E835" w14:textId="4AB471CF" w:rsidR="00FD2516" w:rsidRPr="002559F2" w:rsidRDefault="00FD2516" w:rsidP="00C57BE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Conversație</w:t>
            </w:r>
          </w:p>
        </w:tc>
        <w:tc>
          <w:tcPr>
            <w:tcW w:w="4678" w:type="dxa"/>
            <w:shd w:val="clear" w:color="auto" w:fill="auto"/>
          </w:tcPr>
          <w:p w14:paraId="71430A8C" w14:textId="24BA3294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>Plecând de la nevoile identificate la seminarul anterior, se va dezvolta un program de training, parcurgând etapele specifice.</w:t>
            </w:r>
          </w:p>
        </w:tc>
      </w:tr>
      <w:tr w:rsidR="00FD2516" w:rsidRPr="002559F2" w14:paraId="734FB1B6" w14:textId="77777777" w:rsidTr="00F73144">
        <w:tc>
          <w:tcPr>
            <w:tcW w:w="3006" w:type="dxa"/>
            <w:shd w:val="clear" w:color="auto" w:fill="EEECE1" w:themeFill="background2"/>
          </w:tcPr>
          <w:p w14:paraId="4F4076E3" w14:textId="025F0F7C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S4:</w:t>
            </w:r>
            <w:r w:rsidRPr="00882E3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</w:t>
            </w: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Învățarea la locul de muncă: modelul Kolb al învățării experiențiale.</w:t>
            </w:r>
            <w:r w:rsidRPr="00882E3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Aplicație (2 ore)</w:t>
            </w:r>
          </w:p>
        </w:tc>
        <w:tc>
          <w:tcPr>
            <w:tcW w:w="1701" w:type="dxa"/>
            <w:shd w:val="clear" w:color="auto" w:fill="auto"/>
          </w:tcPr>
          <w:p w14:paraId="48854983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Studiu de caz,</w:t>
            </w:r>
          </w:p>
          <w:p w14:paraId="3C62006E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Lucru în grup,</w:t>
            </w:r>
          </w:p>
          <w:p w14:paraId="771DD3FA" w14:textId="077EFE79" w:rsidR="00FD2516" w:rsidRPr="002559F2" w:rsidRDefault="00FD2516" w:rsidP="00C57BE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Conversație</w:t>
            </w:r>
          </w:p>
        </w:tc>
        <w:tc>
          <w:tcPr>
            <w:tcW w:w="4678" w:type="dxa"/>
            <w:shd w:val="clear" w:color="auto" w:fill="auto"/>
          </w:tcPr>
          <w:p w14:paraId="4E5A2524" w14:textId="163320C0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Plecând de la ce înseamnă învățarea la vârsta adultă și care este specificul ei se vor proiecta o serie de activități concrete ce apar într-un program de training folosind modelul învățării experiențiale a lui Kolb. </w:t>
            </w:r>
          </w:p>
        </w:tc>
      </w:tr>
      <w:tr w:rsidR="00FD2516" w:rsidRPr="002559F2" w14:paraId="1987DCA7" w14:textId="77777777" w:rsidTr="00F73144">
        <w:tc>
          <w:tcPr>
            <w:tcW w:w="3006" w:type="dxa"/>
            <w:shd w:val="clear" w:color="auto" w:fill="EEECE1" w:themeFill="background2"/>
          </w:tcPr>
          <w:p w14:paraId="4AAB7F31" w14:textId="13E1C2DE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S5:</w:t>
            </w:r>
            <w:r w:rsidRPr="00882E3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</w:t>
            </w: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Transferul KSA la locul de muncă. </w:t>
            </w:r>
            <w:r w:rsidRPr="00882E3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Aplicație (2 ore)</w:t>
            </w:r>
          </w:p>
        </w:tc>
        <w:tc>
          <w:tcPr>
            <w:tcW w:w="1701" w:type="dxa"/>
            <w:shd w:val="clear" w:color="auto" w:fill="auto"/>
          </w:tcPr>
          <w:p w14:paraId="112A193F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Studiu de caz,</w:t>
            </w:r>
          </w:p>
          <w:p w14:paraId="17172DC0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Lucru în grup,</w:t>
            </w:r>
          </w:p>
          <w:p w14:paraId="303B4BBA" w14:textId="2DF52D7E" w:rsidR="00FD2516" w:rsidRPr="002559F2" w:rsidRDefault="00FD2516" w:rsidP="00C57BE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Conversație</w:t>
            </w:r>
          </w:p>
        </w:tc>
        <w:tc>
          <w:tcPr>
            <w:tcW w:w="4678" w:type="dxa"/>
            <w:shd w:val="clear" w:color="auto" w:fill="auto"/>
          </w:tcPr>
          <w:p w14:paraId="6DD4D8A3" w14:textId="427C1614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>Se vor identifica într-un caz concret acei factori cu rol stimulator și inhibitor al transferului la locul de muncă a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ceea ce s-a învățat într-un trai</w:t>
            </w: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>ning.</w:t>
            </w:r>
          </w:p>
        </w:tc>
      </w:tr>
      <w:tr w:rsidR="00FD2516" w:rsidRPr="002559F2" w14:paraId="62617C7D" w14:textId="77777777" w:rsidTr="00F73144">
        <w:tc>
          <w:tcPr>
            <w:tcW w:w="3006" w:type="dxa"/>
            <w:shd w:val="clear" w:color="auto" w:fill="EEECE1" w:themeFill="background2"/>
          </w:tcPr>
          <w:p w14:paraId="0F8ADA4A" w14:textId="56FD88AE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S6:</w:t>
            </w:r>
            <w:r w:rsidRPr="00882E3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</w:t>
            </w: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Modelul Kirkpatrick de </w:t>
            </w: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evaluare a rezultatelor unui trai</w:t>
            </w: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ning.</w:t>
            </w:r>
            <w:r w:rsidRPr="00882E3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Aplicație (2 ore)</w:t>
            </w:r>
          </w:p>
        </w:tc>
        <w:tc>
          <w:tcPr>
            <w:tcW w:w="1701" w:type="dxa"/>
            <w:shd w:val="clear" w:color="auto" w:fill="auto"/>
          </w:tcPr>
          <w:p w14:paraId="752B22D6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Studiu de caz,</w:t>
            </w:r>
          </w:p>
          <w:p w14:paraId="12E47324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Lucru în grup,</w:t>
            </w:r>
          </w:p>
          <w:p w14:paraId="5CE507BF" w14:textId="31DF03D4" w:rsidR="00FD2516" w:rsidRPr="002559F2" w:rsidRDefault="00FD2516" w:rsidP="00C57BE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Conversație</w:t>
            </w:r>
          </w:p>
        </w:tc>
        <w:tc>
          <w:tcPr>
            <w:tcW w:w="4678" w:type="dxa"/>
            <w:shd w:val="clear" w:color="auto" w:fill="auto"/>
          </w:tcPr>
          <w:p w14:paraId="5967136F" w14:textId="4D95120A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>Se va porni de la un studiu de caz în care vor fi identificate nive</w:t>
            </w:r>
            <w:r w:rsidR="00084CF2">
              <w:rPr>
                <w:rFonts w:ascii="Times New Roman" w:hAnsi="Times New Roman"/>
                <w:sz w:val="18"/>
                <w:szCs w:val="18"/>
                <w:lang w:val="ro-RO"/>
              </w:rPr>
              <w:t>lurile</w:t>
            </w: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evaluare.</w:t>
            </w:r>
          </w:p>
        </w:tc>
      </w:tr>
      <w:tr w:rsidR="00FD2516" w:rsidRPr="002559F2" w14:paraId="633995DC" w14:textId="77777777" w:rsidTr="00F73144">
        <w:tc>
          <w:tcPr>
            <w:tcW w:w="3006" w:type="dxa"/>
            <w:shd w:val="clear" w:color="auto" w:fill="EEECE1" w:themeFill="background2"/>
          </w:tcPr>
          <w:p w14:paraId="4B5884B5" w14:textId="5771575F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S7:</w:t>
            </w:r>
            <w:r w:rsidRPr="00882E3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</w:t>
            </w: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Planul de dezvoltare personală.</w:t>
            </w:r>
            <w:r w:rsidRPr="00882E3F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Aplicație (2 ore)</w:t>
            </w:r>
          </w:p>
        </w:tc>
        <w:tc>
          <w:tcPr>
            <w:tcW w:w="1701" w:type="dxa"/>
            <w:shd w:val="clear" w:color="auto" w:fill="auto"/>
          </w:tcPr>
          <w:p w14:paraId="6CD78D41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Studiu de caz,</w:t>
            </w:r>
          </w:p>
          <w:p w14:paraId="2452E4AF" w14:textId="77777777" w:rsidR="00FD2516" w:rsidRPr="00F44379" w:rsidRDefault="00FD2516" w:rsidP="00C57BED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Lucru în grup,</w:t>
            </w:r>
          </w:p>
          <w:p w14:paraId="1DE7F144" w14:textId="53A2B9AD" w:rsidR="00FD2516" w:rsidRPr="002559F2" w:rsidRDefault="00FD2516" w:rsidP="00C57BE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Conversație</w:t>
            </w:r>
          </w:p>
        </w:tc>
        <w:tc>
          <w:tcPr>
            <w:tcW w:w="4678" w:type="dxa"/>
            <w:shd w:val="clear" w:color="auto" w:fill="auto"/>
          </w:tcPr>
          <w:p w14:paraId="661F8B8D" w14:textId="049CCE02" w:rsidR="00FD2516" w:rsidRPr="002559F2" w:rsidRDefault="00FD2516" w:rsidP="00FD2516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82E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Plecând de la ce este, care sunt etapele, care sunt avantajele și dezavantajele unui plan de carieră (rigid), se va elabora o schiță de plan de dezvoltare a carierei pe baza nevoilor identificate de masteranzi. </w:t>
            </w:r>
          </w:p>
        </w:tc>
      </w:tr>
      <w:tr w:rsidR="00802D13" w:rsidRPr="002559F2" w14:paraId="53EC0F9B" w14:textId="77777777" w:rsidTr="00F73144">
        <w:tc>
          <w:tcPr>
            <w:tcW w:w="9385" w:type="dxa"/>
            <w:gridSpan w:val="3"/>
            <w:shd w:val="clear" w:color="auto" w:fill="EEECE1" w:themeFill="background2"/>
          </w:tcPr>
          <w:p w14:paraId="57B21B7F" w14:textId="326326D1" w:rsidR="00802D13" w:rsidRPr="00F90CB2" w:rsidRDefault="00802D13" w:rsidP="00802D13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90C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 </w:t>
            </w:r>
            <w:r w:rsidR="00F90C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(selectivă)</w:t>
            </w:r>
            <w:r w:rsidRPr="00F90C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:</w:t>
            </w:r>
          </w:p>
          <w:p w14:paraId="1E1B7155" w14:textId="6DC994A9" w:rsidR="005F4B27" w:rsidRPr="009C677B" w:rsidRDefault="005F4B27" w:rsidP="00F90CB2">
            <w:pPr>
              <w:pStyle w:val="NoSpacing"/>
              <w:numPr>
                <w:ilvl w:val="0"/>
                <w:numId w:val="33"/>
              </w:numPr>
              <w:ind w:left="349" w:hanging="349"/>
              <w:jc w:val="both"/>
              <w:rPr>
                <w:rFonts w:ascii="Times New Roman" w:hAnsi="Times New Roman"/>
                <w:color w:val="0070C0"/>
                <w:sz w:val="18"/>
                <w:szCs w:val="18"/>
                <w:lang w:val="ro-RO"/>
              </w:rPr>
            </w:pPr>
            <w:r w:rsidRPr="009C677B">
              <w:rPr>
                <w:rFonts w:ascii="Times New Roman" w:hAnsi="Times New Roman"/>
                <w:color w:val="0070C0"/>
                <w:sz w:val="18"/>
                <w:szCs w:val="18"/>
              </w:rPr>
              <w:t xml:space="preserve">Blanchard, P. N., &amp; Thacker, J. W. (2013). </w:t>
            </w:r>
            <w:r w:rsidRPr="009C677B">
              <w:rPr>
                <w:rFonts w:ascii="Times New Roman" w:hAnsi="Times New Roman"/>
                <w:i/>
                <w:color w:val="0070C0"/>
                <w:sz w:val="18"/>
                <w:szCs w:val="18"/>
              </w:rPr>
              <w:t xml:space="preserve">Effective training. Systems, </w:t>
            </w:r>
            <w:proofErr w:type="gramStart"/>
            <w:r w:rsidRPr="009C677B">
              <w:rPr>
                <w:rFonts w:ascii="Times New Roman" w:hAnsi="Times New Roman"/>
                <w:i/>
                <w:color w:val="0070C0"/>
                <w:sz w:val="18"/>
                <w:szCs w:val="18"/>
              </w:rPr>
              <w:t>strategies</w:t>
            </w:r>
            <w:proofErr w:type="gramEnd"/>
            <w:r w:rsidRPr="009C677B">
              <w:rPr>
                <w:rFonts w:ascii="Times New Roman" w:hAnsi="Times New Roman"/>
                <w:i/>
                <w:color w:val="0070C0"/>
                <w:sz w:val="18"/>
                <w:szCs w:val="18"/>
              </w:rPr>
              <w:t xml:space="preserve"> and practices</w:t>
            </w:r>
            <w:r w:rsidRPr="009C677B">
              <w:rPr>
                <w:rFonts w:ascii="Times New Roman" w:hAnsi="Times New Roman"/>
                <w:color w:val="0070C0"/>
                <w:sz w:val="18"/>
                <w:szCs w:val="18"/>
              </w:rPr>
              <w:t xml:space="preserve"> (5</w:t>
            </w:r>
            <w:r w:rsidRPr="009C677B">
              <w:rPr>
                <w:rFonts w:ascii="Times New Roman" w:hAnsi="Times New Roman"/>
                <w:color w:val="0070C0"/>
                <w:sz w:val="18"/>
                <w:szCs w:val="18"/>
                <w:vertAlign w:val="superscript"/>
              </w:rPr>
              <w:t>th</w:t>
            </w:r>
            <w:r w:rsidRPr="009C677B">
              <w:rPr>
                <w:rFonts w:ascii="Times New Roman" w:hAnsi="Times New Roman"/>
                <w:color w:val="0070C0"/>
                <w:sz w:val="18"/>
                <w:szCs w:val="18"/>
              </w:rPr>
              <w:t xml:space="preserve"> edition). N.J.: Pearson Education, Inc.</w:t>
            </w:r>
          </w:p>
          <w:p w14:paraId="5FBB68A7" w14:textId="66D896BB" w:rsidR="008D6EC5" w:rsidRPr="00F44379" w:rsidRDefault="008D6EC5" w:rsidP="00F90CB2">
            <w:pPr>
              <w:pStyle w:val="NoSpacing"/>
              <w:numPr>
                <w:ilvl w:val="0"/>
                <w:numId w:val="33"/>
              </w:numPr>
              <w:ind w:left="349" w:hanging="349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Laird, D., Naquin, S. S., &amp; Holton, E. F. (2003). </w:t>
            </w:r>
            <w:r w:rsidRPr="00F4437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Approaches to training and development. New perspectives in organizational learning, performances and changes</w:t>
            </w: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(3th edition). Perseus Books Group. U.S.A.  </w:t>
            </w:r>
          </w:p>
          <w:p w14:paraId="33AACA4D" w14:textId="77777777" w:rsidR="008D6EC5" w:rsidRPr="00F44379" w:rsidRDefault="008D6EC5" w:rsidP="00F90CB2">
            <w:pPr>
              <w:pStyle w:val="NoSpacing"/>
              <w:numPr>
                <w:ilvl w:val="0"/>
                <w:numId w:val="33"/>
              </w:numPr>
              <w:ind w:left="349" w:hanging="349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Moskowitz, M. (2008). </w:t>
            </w:r>
            <w:r w:rsidRPr="00F4437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A practical guide to training and development. Assess, design, deliver and evaluate</w:t>
            </w: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. Pfeiffer, John, Wiley &amp; Sons, Inc.</w:t>
            </w:r>
          </w:p>
          <w:p w14:paraId="5E328A2F" w14:textId="1CA02C1C" w:rsidR="00802D13" w:rsidRPr="002559F2" w:rsidRDefault="008D6EC5" w:rsidP="00F90CB2">
            <w:pPr>
              <w:pStyle w:val="NoSpacing"/>
              <w:numPr>
                <w:ilvl w:val="0"/>
                <w:numId w:val="33"/>
              </w:numPr>
              <w:ind w:left="349" w:hanging="349"/>
              <w:jc w:val="both"/>
              <w:rPr>
                <w:rFonts w:ascii="Times New Roman" w:hAnsi="Times New Roman"/>
                <w:lang w:val="ro-RO"/>
              </w:rPr>
            </w:pP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Charney, C., &amp; Conway, K. (2005). </w:t>
            </w:r>
            <w:r w:rsidRPr="00F4437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The trainerʼs tool kit</w:t>
            </w:r>
            <w:r w:rsidRPr="00F44379">
              <w:rPr>
                <w:rFonts w:ascii="Times New Roman" w:hAnsi="Times New Roman"/>
                <w:sz w:val="18"/>
                <w:szCs w:val="18"/>
                <w:lang w:val="ro-RO"/>
              </w:rPr>
              <w:t>. N.Y.: American Management Association</w:t>
            </w:r>
          </w:p>
        </w:tc>
      </w:tr>
    </w:tbl>
    <w:p w14:paraId="072152BC" w14:textId="77777777" w:rsidR="00802D13" w:rsidRPr="002559F2" w:rsidRDefault="00802D13" w:rsidP="00802D13">
      <w:pPr>
        <w:pStyle w:val="ListParagraph"/>
        <w:spacing w:line="276" w:lineRule="auto"/>
        <w:ind w:left="714"/>
        <w:jc w:val="both"/>
        <w:rPr>
          <w:b/>
          <w:sz w:val="22"/>
          <w:szCs w:val="22"/>
        </w:rPr>
      </w:pPr>
    </w:p>
    <w:p w14:paraId="5DCD796C" w14:textId="7EF138EA" w:rsidR="00E0255D" w:rsidRPr="002559F2" w:rsidRDefault="00E0255D" w:rsidP="00577064">
      <w:pPr>
        <w:pStyle w:val="ListParagraph"/>
        <w:numPr>
          <w:ilvl w:val="0"/>
          <w:numId w:val="26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2559F2">
        <w:rPr>
          <w:b/>
          <w:sz w:val="22"/>
          <w:szCs w:val="22"/>
        </w:rPr>
        <w:t>Coroborarea con</w:t>
      </w:r>
      <w:r w:rsidR="00C4385C" w:rsidRPr="002559F2">
        <w:rPr>
          <w:b/>
          <w:sz w:val="22"/>
          <w:szCs w:val="22"/>
        </w:rPr>
        <w:t>ț</w:t>
      </w:r>
      <w:r w:rsidRPr="002559F2">
        <w:rPr>
          <w:b/>
          <w:sz w:val="22"/>
          <w:szCs w:val="22"/>
        </w:rPr>
        <w:t>inuturilor disciplinei cu a</w:t>
      </w:r>
      <w:r w:rsidR="00C4385C" w:rsidRPr="002559F2">
        <w:rPr>
          <w:b/>
          <w:sz w:val="22"/>
          <w:szCs w:val="22"/>
        </w:rPr>
        <w:t>ș</w:t>
      </w:r>
      <w:r w:rsidRPr="002559F2">
        <w:rPr>
          <w:b/>
          <w:sz w:val="22"/>
          <w:szCs w:val="22"/>
        </w:rPr>
        <w:t>teptările reprezentan</w:t>
      </w:r>
      <w:r w:rsidR="00C4385C" w:rsidRPr="002559F2">
        <w:rPr>
          <w:b/>
          <w:sz w:val="22"/>
          <w:szCs w:val="22"/>
        </w:rPr>
        <w:t>ț</w:t>
      </w:r>
      <w:r w:rsidRPr="002559F2">
        <w:rPr>
          <w:b/>
          <w:sz w:val="22"/>
          <w:szCs w:val="22"/>
        </w:rPr>
        <w:t>ilor comunită</w:t>
      </w:r>
      <w:r w:rsidR="00C4385C" w:rsidRPr="002559F2">
        <w:rPr>
          <w:b/>
          <w:sz w:val="22"/>
          <w:szCs w:val="22"/>
        </w:rPr>
        <w:t>ț</w:t>
      </w:r>
      <w:r w:rsidRPr="002559F2">
        <w:rPr>
          <w:b/>
          <w:sz w:val="22"/>
          <w:szCs w:val="22"/>
        </w:rPr>
        <w:t>ii epistemice, asocia</w:t>
      </w:r>
      <w:r w:rsidR="00C4385C" w:rsidRPr="002559F2">
        <w:rPr>
          <w:b/>
          <w:sz w:val="22"/>
          <w:szCs w:val="22"/>
        </w:rPr>
        <w:t>ț</w:t>
      </w:r>
      <w:r w:rsidRPr="002559F2">
        <w:rPr>
          <w:b/>
          <w:sz w:val="22"/>
          <w:szCs w:val="22"/>
        </w:rPr>
        <w:t xml:space="preserve">iilor profesionale </w:t>
      </w:r>
      <w:r w:rsidR="00C4385C" w:rsidRPr="002559F2">
        <w:rPr>
          <w:b/>
          <w:sz w:val="22"/>
          <w:szCs w:val="22"/>
        </w:rPr>
        <w:t>ș</w:t>
      </w:r>
      <w:r w:rsidRPr="002559F2">
        <w:rPr>
          <w:b/>
          <w:sz w:val="22"/>
          <w:szCs w:val="22"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577064" w:rsidRPr="002559F2" w14:paraId="616C5A3F" w14:textId="77777777" w:rsidTr="00577064">
        <w:tc>
          <w:tcPr>
            <w:tcW w:w="9389" w:type="dxa"/>
          </w:tcPr>
          <w:p w14:paraId="7DFA76B4" w14:textId="556447E0" w:rsidR="00577064" w:rsidRPr="002559F2" w:rsidRDefault="00577064" w:rsidP="00577064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3505C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Disciplina este concepută astfel încât să răspundă, deopotrivă, criteriilor Colegiului Psihologilor din România de acreditare a programului masteral și Comisiei aplicative de Psihologia muncii, psihologia transporturilor și aplicată în servicii. De asemenea, alegerea temelor cu conținut aplicativ s-a realizat și în urma consultării cu practicienii din firmele de training și consultanță, sau a celor din zona Resurselor Umane. </w:t>
            </w:r>
          </w:p>
        </w:tc>
      </w:tr>
    </w:tbl>
    <w:p w14:paraId="6C85CEF1" w14:textId="77777777" w:rsidR="00802D13" w:rsidRPr="002559F2" w:rsidRDefault="00802D13" w:rsidP="00802D13">
      <w:pPr>
        <w:pStyle w:val="ListParagraph"/>
        <w:spacing w:line="276" w:lineRule="auto"/>
        <w:ind w:left="714"/>
        <w:rPr>
          <w:b/>
          <w:sz w:val="22"/>
          <w:szCs w:val="22"/>
        </w:rPr>
      </w:pPr>
    </w:p>
    <w:p w14:paraId="14CF112F" w14:textId="4F5373C2" w:rsidR="00E0255D" w:rsidRPr="002559F2" w:rsidRDefault="00E0255D" w:rsidP="00CA2EE9">
      <w:pPr>
        <w:pStyle w:val="ListParagraph"/>
        <w:numPr>
          <w:ilvl w:val="0"/>
          <w:numId w:val="26"/>
        </w:numPr>
        <w:spacing w:line="276" w:lineRule="auto"/>
        <w:ind w:left="284" w:hanging="284"/>
        <w:rPr>
          <w:b/>
          <w:sz w:val="22"/>
          <w:szCs w:val="22"/>
        </w:rPr>
      </w:pPr>
      <w:r w:rsidRPr="002559F2">
        <w:rPr>
          <w:b/>
          <w:sz w:val="22"/>
          <w:szCs w:val="22"/>
        </w:rPr>
        <w:t>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  <w:gridCol w:w="2126"/>
        <w:gridCol w:w="5245"/>
        <w:gridCol w:w="986"/>
      </w:tblGrid>
      <w:tr w:rsidR="00E0255D" w:rsidRPr="00CA2EE9" w14:paraId="580DDEA8" w14:textId="77777777" w:rsidTr="00F73144">
        <w:tc>
          <w:tcPr>
            <w:tcW w:w="1022" w:type="dxa"/>
            <w:shd w:val="clear" w:color="auto" w:fill="EEECE1" w:themeFill="background2"/>
          </w:tcPr>
          <w:p w14:paraId="66D2F9EF" w14:textId="77777777" w:rsidR="00E0255D" w:rsidRPr="00CA2EE9" w:rsidRDefault="00E0255D" w:rsidP="00CA2EE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A2EE9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126" w:type="dxa"/>
            <w:shd w:val="clear" w:color="auto" w:fill="EEECE1" w:themeFill="background2"/>
          </w:tcPr>
          <w:p w14:paraId="46CB3910" w14:textId="0C6F8265" w:rsidR="00E0255D" w:rsidRPr="00CA2EE9" w:rsidRDefault="00CA2EE9" w:rsidP="00CA2EE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9</w:t>
            </w:r>
            <w:r w:rsidR="00E0255D" w:rsidRPr="00CA2EE9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.1 Criterii de evaluare</w:t>
            </w:r>
          </w:p>
        </w:tc>
        <w:tc>
          <w:tcPr>
            <w:tcW w:w="5245" w:type="dxa"/>
            <w:shd w:val="clear" w:color="auto" w:fill="EEECE1" w:themeFill="background2"/>
          </w:tcPr>
          <w:p w14:paraId="7D590296" w14:textId="75E0F1FB" w:rsidR="00E0255D" w:rsidRPr="00CA2EE9" w:rsidRDefault="00CA2EE9" w:rsidP="00CA2EE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9</w:t>
            </w:r>
            <w:r w:rsidR="00E0255D" w:rsidRPr="00CA2EE9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.2 Metode de evaluare</w:t>
            </w:r>
          </w:p>
        </w:tc>
        <w:tc>
          <w:tcPr>
            <w:tcW w:w="986" w:type="dxa"/>
            <w:shd w:val="clear" w:color="auto" w:fill="EEECE1" w:themeFill="background2"/>
          </w:tcPr>
          <w:p w14:paraId="5AC52449" w14:textId="0A228C02" w:rsidR="00E0255D" w:rsidRPr="00F73144" w:rsidRDefault="00CA2EE9" w:rsidP="00CA2EE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F73144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9</w:t>
            </w:r>
            <w:r w:rsidR="00E0255D" w:rsidRPr="00F73144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.3 Pondere din nota finală</w:t>
            </w:r>
          </w:p>
        </w:tc>
      </w:tr>
      <w:tr w:rsidR="00C40FFE" w:rsidRPr="002559F2" w14:paraId="70F082A4" w14:textId="77777777" w:rsidTr="00F73144">
        <w:trPr>
          <w:trHeight w:val="363"/>
        </w:trPr>
        <w:tc>
          <w:tcPr>
            <w:tcW w:w="1022" w:type="dxa"/>
            <w:tcBorders>
              <w:bottom w:val="nil"/>
            </w:tcBorders>
            <w:shd w:val="clear" w:color="auto" w:fill="EEECE1" w:themeFill="background2"/>
          </w:tcPr>
          <w:p w14:paraId="5E53B4E9" w14:textId="77777777" w:rsidR="00C40FFE" w:rsidRDefault="00C40FFE" w:rsidP="00FD251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A2EE9">
              <w:rPr>
                <w:rFonts w:ascii="Times New Roman" w:hAnsi="Times New Roman"/>
                <w:b/>
                <w:lang w:val="ro-RO"/>
              </w:rPr>
              <w:t>9.4 Curs</w:t>
            </w:r>
          </w:p>
          <w:p w14:paraId="3B811F75" w14:textId="77777777" w:rsidR="005872A3" w:rsidRDefault="005872A3" w:rsidP="00FD251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26BFDDF3" w14:textId="77777777" w:rsidR="005872A3" w:rsidRDefault="005872A3" w:rsidP="00FD251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40B756C3" w14:textId="77777777" w:rsidR="005872A3" w:rsidRDefault="005872A3" w:rsidP="00FD251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0C3B7882" w14:textId="77777777" w:rsidR="005872A3" w:rsidRDefault="005872A3" w:rsidP="00FD251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46EFF952" w14:textId="77777777" w:rsidR="005872A3" w:rsidRDefault="005872A3" w:rsidP="00FD251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2723C094" w14:textId="3B9578E6" w:rsidR="005872A3" w:rsidRPr="00CA2EE9" w:rsidRDefault="005872A3" w:rsidP="00FD251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A2EE9">
              <w:rPr>
                <w:rFonts w:ascii="Times New Roman" w:hAnsi="Times New Roman"/>
                <w:b/>
                <w:lang w:val="ro-RO"/>
              </w:rPr>
              <w:t>9.5 Seminar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73A2A34" w14:textId="77777777" w:rsidR="00C40FFE" w:rsidRDefault="00C40FFE" w:rsidP="00C40FF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55BE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Evidențierea existenței competențelor în: (1) </w:t>
            </w:r>
            <w:r w:rsidRPr="00055BE3">
              <w:rPr>
                <w:rFonts w:ascii="Times New Roman" w:hAnsi="Times New Roman"/>
                <w:b/>
                <w:i/>
                <w:sz w:val="20"/>
                <w:szCs w:val="20"/>
                <w:lang w:val="ro-RO"/>
              </w:rPr>
              <w:t>analiza de nevoi</w:t>
            </w:r>
            <w:r w:rsidRPr="00055BE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; </w:t>
            </w:r>
          </w:p>
          <w:p w14:paraId="470EF5B3" w14:textId="77777777" w:rsidR="00C40FFE" w:rsidRDefault="00C40FFE" w:rsidP="00C40FF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55BE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(2) </w:t>
            </w:r>
            <w:r w:rsidRPr="00055BE3">
              <w:rPr>
                <w:rFonts w:ascii="Times New Roman" w:hAnsi="Times New Roman"/>
                <w:b/>
                <w:i/>
                <w:sz w:val="20"/>
                <w:szCs w:val="20"/>
                <w:lang w:val="ro-RO"/>
              </w:rPr>
              <w:t>proiectarea intervenției (elaborarea unui plan de training</w:t>
            </w:r>
            <w:r w:rsidRPr="00055BE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); </w:t>
            </w:r>
          </w:p>
          <w:p w14:paraId="2852DD48" w14:textId="6D71EFF2" w:rsidR="00C40FFE" w:rsidRPr="00055BE3" w:rsidRDefault="00C40FFE" w:rsidP="00C40FF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55BE3">
              <w:rPr>
                <w:rFonts w:ascii="Times New Roman" w:hAnsi="Times New Roman"/>
                <w:sz w:val="20"/>
                <w:szCs w:val="20"/>
                <w:lang w:val="ro-RO"/>
              </w:rPr>
              <w:t>(3</w:t>
            </w:r>
            <w:r w:rsidRPr="00055BE3">
              <w:rPr>
                <w:rFonts w:ascii="Times New Roman" w:hAnsi="Times New Roman"/>
                <w:b/>
                <w:i/>
                <w:sz w:val="20"/>
                <w:szCs w:val="20"/>
                <w:lang w:val="ro-RO"/>
              </w:rPr>
              <w:t>) comunicarea rezultatelor</w:t>
            </w:r>
            <w:r w:rsidRPr="00055BE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(justificarea opțiunilor de transmitere a rezultatelor programului de formare către beneficiari). </w:t>
            </w:r>
          </w:p>
          <w:p w14:paraId="4C213948" w14:textId="28A55F6F" w:rsidR="00C40FFE" w:rsidRPr="00055BE3" w:rsidRDefault="00C40FFE" w:rsidP="00C40FF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55BE3">
              <w:rPr>
                <w:rFonts w:ascii="Times New Roman" w:hAnsi="Times New Roman"/>
                <w:sz w:val="20"/>
                <w:szCs w:val="20"/>
                <w:lang w:val="ro-RO"/>
              </w:rPr>
              <w:t>Fiecare dintre competențele propuse spre dezvoltare vor putea fi verificate și pe parcursul derulării activităților practice din cadrul seminarelor.</w:t>
            </w:r>
          </w:p>
        </w:tc>
        <w:tc>
          <w:tcPr>
            <w:tcW w:w="5245" w:type="dxa"/>
            <w:shd w:val="clear" w:color="auto" w:fill="auto"/>
          </w:tcPr>
          <w:p w14:paraId="757B9DF2" w14:textId="6CBE75A0" w:rsidR="00873907" w:rsidRDefault="00C40FFE" w:rsidP="000126F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E5D9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Evaluarea la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  <w:r w:rsidRPr="00DE5D9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873907">
              <w:rPr>
                <w:rFonts w:ascii="Times New Roman" w:hAnsi="Times New Roman"/>
                <w:sz w:val="20"/>
                <w:szCs w:val="20"/>
                <w:lang w:val="ro-RO"/>
              </w:rPr>
              <w:t>vizează aspecte</w:t>
            </w:r>
            <w:r w:rsidR="003B682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le teoretice și cele practice parcurse de-a lungul semestrului. </w:t>
            </w:r>
          </w:p>
          <w:p w14:paraId="08299672" w14:textId="7465BD7D" w:rsidR="003B6829" w:rsidRDefault="003B6829" w:rsidP="003B6829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Astfel, </w:t>
            </w:r>
            <w:r w:rsidRPr="00E9525C">
              <w:rPr>
                <w:sz w:val="20"/>
                <w:szCs w:val="20"/>
              </w:rPr>
              <w:t>pentru a promova examenul, fiecare student masterand poate obține 100 puncte din următoarele sarcini:</w:t>
            </w:r>
          </w:p>
          <w:p w14:paraId="7852EFC9" w14:textId="77777777" w:rsidR="003B6829" w:rsidRPr="00E9525C" w:rsidRDefault="003B6829" w:rsidP="003B6829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3289"/>
              <w:gridCol w:w="1730"/>
            </w:tblGrid>
            <w:tr w:rsidR="00F45124" w:rsidRPr="00BF0FE3" w14:paraId="0AACDA08" w14:textId="77777777" w:rsidTr="00F73144">
              <w:tc>
                <w:tcPr>
                  <w:tcW w:w="3277" w:type="pct"/>
                  <w:shd w:val="clear" w:color="auto" w:fill="FBD4B4" w:themeFill="accent6" w:themeFillTint="66"/>
                </w:tcPr>
                <w:p w14:paraId="3E7D3AAE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center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Sarcină de lucru</w:t>
                  </w:r>
                </w:p>
              </w:tc>
              <w:tc>
                <w:tcPr>
                  <w:tcW w:w="1723" w:type="pct"/>
                  <w:shd w:val="clear" w:color="auto" w:fill="FBD4B4" w:themeFill="accent6" w:themeFillTint="66"/>
                </w:tcPr>
                <w:p w14:paraId="6540F692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center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Punctaj obținut</w:t>
                  </w:r>
                </w:p>
              </w:tc>
            </w:tr>
            <w:tr w:rsidR="003B6829" w:rsidRPr="00BF0FE3" w14:paraId="5212F99E" w14:textId="77777777" w:rsidTr="00E9525C">
              <w:tc>
                <w:tcPr>
                  <w:tcW w:w="3277" w:type="pct"/>
                </w:tcPr>
                <w:p w14:paraId="22FDC840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both"/>
                    <w:rPr>
                      <w:rFonts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1. Aspecte teoretice*</w:t>
                  </w:r>
                </w:p>
              </w:tc>
              <w:tc>
                <w:tcPr>
                  <w:tcW w:w="1723" w:type="pct"/>
                </w:tcPr>
                <w:p w14:paraId="7CF80634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center"/>
                    <w:rPr>
                      <w:rFonts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30p</w:t>
                  </w:r>
                </w:p>
              </w:tc>
            </w:tr>
            <w:tr w:rsidR="003B6829" w:rsidRPr="00BF0FE3" w14:paraId="2591DE46" w14:textId="77777777" w:rsidTr="00E9525C">
              <w:tc>
                <w:tcPr>
                  <w:tcW w:w="3277" w:type="pct"/>
                </w:tcPr>
                <w:p w14:paraId="3CFEFEA3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sz w:val="20"/>
                      <w:szCs w:val="20"/>
                    </w:rPr>
                    <w:t xml:space="preserve">Test din conținuturile teoretice ale cursurilor și seminarelor C1/S1-C14/S7; </w:t>
                  </w:r>
                </w:p>
              </w:tc>
              <w:tc>
                <w:tcPr>
                  <w:tcW w:w="1723" w:type="pct"/>
                </w:tcPr>
                <w:p w14:paraId="1D7B7DB2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sz w:val="20"/>
                      <w:szCs w:val="20"/>
                    </w:rPr>
                    <w:t>min. 15p – max. 30p</w:t>
                  </w:r>
                </w:p>
              </w:tc>
            </w:tr>
            <w:tr w:rsidR="003B6829" w:rsidRPr="00BF0FE3" w14:paraId="11E6A27D" w14:textId="77777777" w:rsidTr="00E9525C">
              <w:tc>
                <w:tcPr>
                  <w:tcW w:w="3277" w:type="pct"/>
                </w:tcPr>
                <w:p w14:paraId="6808D747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both"/>
                    <w:rPr>
                      <w:rFonts w:cs="Times New Roman"/>
                      <w:sz w:val="16"/>
                      <w:szCs w:val="16"/>
                    </w:rPr>
                  </w:pPr>
                  <w:r w:rsidRPr="00E9525C">
                    <w:rPr>
                      <w:rFonts w:cs="Times New Roman"/>
                      <w:sz w:val="16"/>
                      <w:szCs w:val="16"/>
                    </w:rPr>
                    <w:t>* testul este obligatoriu, iar pentru a fi considerat promovat, studentul trebuie să obțină cel puțin 15p</w:t>
                  </w:r>
                </w:p>
              </w:tc>
              <w:tc>
                <w:tcPr>
                  <w:tcW w:w="1723" w:type="pct"/>
                </w:tcPr>
                <w:p w14:paraId="3637B34F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center"/>
                    <w:rPr>
                      <w:rFonts w:cs="Times New Roman"/>
                      <w:i/>
                      <w:iCs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min. 15p</w:t>
                  </w:r>
                </w:p>
              </w:tc>
            </w:tr>
            <w:tr w:rsidR="003B6829" w:rsidRPr="00BF0FE3" w14:paraId="0F0C9852" w14:textId="77777777" w:rsidTr="00E9525C">
              <w:tc>
                <w:tcPr>
                  <w:tcW w:w="3277" w:type="pct"/>
                </w:tcPr>
                <w:p w14:paraId="57F43F25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both"/>
                    <w:rPr>
                      <w:rFonts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2. Aspecte practice**</w:t>
                  </w:r>
                </w:p>
              </w:tc>
              <w:tc>
                <w:tcPr>
                  <w:tcW w:w="1723" w:type="pct"/>
                </w:tcPr>
                <w:p w14:paraId="50274EF3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center"/>
                    <w:rPr>
                      <w:rFonts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30p+20p = 50p</w:t>
                  </w:r>
                </w:p>
              </w:tc>
            </w:tr>
            <w:tr w:rsidR="003B6829" w:rsidRPr="00BF0FE3" w14:paraId="19662966" w14:textId="77777777" w:rsidTr="00E9525C">
              <w:tc>
                <w:tcPr>
                  <w:tcW w:w="3277" w:type="pct"/>
                </w:tcPr>
                <w:p w14:paraId="713C45AC" w14:textId="415EE87D" w:rsidR="003B6829" w:rsidRPr="00F73144" w:rsidRDefault="00F73144" w:rsidP="00F73144">
                  <w:pPr>
                    <w:tabs>
                      <w:tab w:val="left" w:pos="284"/>
                    </w:tabs>
                    <w:ind w:left="31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a. </w:t>
                  </w:r>
                  <w:r w:rsidR="003B6829" w:rsidRPr="00F73144">
                    <w:rPr>
                      <w:sz w:val="20"/>
                      <w:szCs w:val="20"/>
                    </w:rPr>
                    <w:t>Susținerea unei sesiuni de training pe o temă dată (</w:t>
                  </w:r>
                  <w:r w:rsidR="003B6829" w:rsidRPr="00F73144">
                    <w:rPr>
                      <w:i/>
                      <w:iCs/>
                      <w:sz w:val="20"/>
                      <w:szCs w:val="20"/>
                    </w:rPr>
                    <w:t>activitatea de grup</w:t>
                  </w:r>
                  <w:r w:rsidR="003B6829" w:rsidRPr="00F73144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23" w:type="pct"/>
                </w:tcPr>
                <w:p w14:paraId="3049C70E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sz w:val="20"/>
                      <w:szCs w:val="20"/>
                    </w:rPr>
                    <w:t>min. 15p – max. 30p</w:t>
                  </w:r>
                </w:p>
              </w:tc>
            </w:tr>
            <w:tr w:rsidR="003B6829" w:rsidRPr="00BF0FE3" w14:paraId="5436C1BF" w14:textId="77777777" w:rsidTr="00E9525C">
              <w:tc>
                <w:tcPr>
                  <w:tcW w:w="3277" w:type="pct"/>
                </w:tcPr>
                <w:p w14:paraId="7F4EE234" w14:textId="5DA1AB78" w:rsidR="003B6829" w:rsidRPr="00F73144" w:rsidRDefault="00F73144" w:rsidP="00F73144">
                  <w:pPr>
                    <w:tabs>
                      <w:tab w:val="left" w:pos="315"/>
                    </w:tabs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b. </w:t>
                  </w:r>
                  <w:r w:rsidR="003B6829" w:rsidRPr="00F73144">
                    <w:rPr>
                      <w:sz w:val="20"/>
                      <w:szCs w:val="20"/>
                    </w:rPr>
                    <w:t>Realizarea unui jurnal de analiză a învățării, consecutiv activității realizate la punctul a. (</w:t>
                  </w:r>
                  <w:r w:rsidR="003B6829" w:rsidRPr="00F73144">
                    <w:rPr>
                      <w:i/>
                      <w:iCs/>
                      <w:sz w:val="20"/>
                      <w:szCs w:val="20"/>
                    </w:rPr>
                    <w:t>activitate individuală</w:t>
                  </w:r>
                  <w:r w:rsidR="003B6829" w:rsidRPr="00F73144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1723" w:type="pct"/>
                </w:tcPr>
                <w:p w14:paraId="1048CEEB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sz w:val="20"/>
                      <w:szCs w:val="20"/>
                    </w:rPr>
                    <w:t>min. 10p – max. 20p</w:t>
                  </w:r>
                </w:p>
              </w:tc>
            </w:tr>
            <w:tr w:rsidR="003B6829" w:rsidRPr="00BF0FE3" w14:paraId="08574A46" w14:textId="77777777" w:rsidTr="00E9525C">
              <w:tc>
                <w:tcPr>
                  <w:tcW w:w="3277" w:type="pct"/>
                </w:tcPr>
                <w:p w14:paraId="53B394F3" w14:textId="77777777" w:rsidR="003B6829" w:rsidRPr="00E9525C" w:rsidRDefault="003B6829" w:rsidP="003B6829">
                  <w:pPr>
                    <w:tabs>
                      <w:tab w:val="left" w:pos="315"/>
                    </w:tabs>
                    <w:jc w:val="both"/>
                    <w:rPr>
                      <w:rFonts w:cs="Times New Roman"/>
                      <w:sz w:val="16"/>
                      <w:szCs w:val="16"/>
                    </w:rPr>
                  </w:pPr>
                  <w:r w:rsidRPr="00E9525C">
                    <w:rPr>
                      <w:rFonts w:cs="Times New Roman"/>
                      <w:sz w:val="16"/>
                      <w:szCs w:val="16"/>
                    </w:rPr>
                    <w:t>**ambele activități sunt obligatorii pentru obținerea punctajului alocat, iar punctajul minim obținut trebuie să fie 25p</w:t>
                  </w:r>
                </w:p>
              </w:tc>
              <w:tc>
                <w:tcPr>
                  <w:tcW w:w="1723" w:type="pct"/>
                </w:tcPr>
                <w:p w14:paraId="2B6622F1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center"/>
                    <w:rPr>
                      <w:rFonts w:cs="Times New Roman"/>
                      <w:i/>
                      <w:iCs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min. 25p</w:t>
                  </w:r>
                </w:p>
              </w:tc>
            </w:tr>
            <w:tr w:rsidR="003B6829" w:rsidRPr="00BF0FE3" w14:paraId="5A2D1148" w14:textId="77777777" w:rsidTr="00E9525C">
              <w:tc>
                <w:tcPr>
                  <w:tcW w:w="3277" w:type="pct"/>
                </w:tcPr>
                <w:p w14:paraId="17C9274A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3. Prezență</w:t>
                  </w:r>
                  <w:r w:rsidRPr="00E9525C">
                    <w:rPr>
                      <w:rFonts w:cs="Times New Roman"/>
                      <w:sz w:val="20"/>
                      <w:szCs w:val="20"/>
                    </w:rPr>
                    <w:t>***</w:t>
                  </w:r>
                </w:p>
                <w:p w14:paraId="1AF4FCC7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both"/>
                    <w:rPr>
                      <w:rFonts w:cs="Times New Roman"/>
                      <w:sz w:val="16"/>
                      <w:szCs w:val="16"/>
                    </w:rPr>
                  </w:pPr>
                  <w:r w:rsidRPr="00E9525C">
                    <w:rPr>
                      <w:rFonts w:cs="Times New Roman"/>
                      <w:sz w:val="16"/>
                      <w:szCs w:val="16"/>
                    </w:rPr>
                    <w:t xml:space="preserve">***consecutiv respectării condițiilor minimale privind numărul de prezențe (conform metodologiei UVT).  </w:t>
                  </w:r>
                </w:p>
              </w:tc>
              <w:tc>
                <w:tcPr>
                  <w:tcW w:w="1723" w:type="pct"/>
                </w:tcPr>
                <w:p w14:paraId="43922F4A" w14:textId="77777777" w:rsidR="003B6829" w:rsidRPr="00E9525C" w:rsidRDefault="003B6829" w:rsidP="003B6829">
                  <w:pPr>
                    <w:tabs>
                      <w:tab w:val="left" w:pos="284"/>
                    </w:tabs>
                    <w:jc w:val="center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20p</w:t>
                  </w:r>
                </w:p>
              </w:tc>
            </w:tr>
          </w:tbl>
          <w:p w14:paraId="69FD398E" w14:textId="77777777" w:rsidR="00F73144" w:rsidRPr="00F73144" w:rsidRDefault="00F73144" w:rsidP="003B6829">
            <w:pPr>
              <w:tabs>
                <w:tab w:val="left" w:pos="284"/>
              </w:tabs>
              <w:jc w:val="both"/>
              <w:rPr>
                <w:sz w:val="16"/>
                <w:szCs w:val="16"/>
              </w:rPr>
            </w:pPr>
          </w:p>
          <w:p w14:paraId="3ABBEC57" w14:textId="4129570C" w:rsidR="003B6829" w:rsidRPr="00E9525C" w:rsidRDefault="003B6829" w:rsidP="003B6829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BF0FE3">
              <w:rPr>
                <w:rFonts w:ascii="Cambria" w:hAnsi="Cambria"/>
              </w:rPr>
              <w:tab/>
            </w:r>
            <w:r w:rsidRPr="00E9525C">
              <w:rPr>
                <w:sz w:val="20"/>
                <w:szCs w:val="20"/>
              </w:rPr>
              <w:t>Punctajele obținute vor fi asociate notelor, conform tabelului de mai jos. Toate sarcinile/activitățile sunt obligatorii pentru ca disciplină să fie considerată promovată.</w:t>
            </w:r>
          </w:p>
          <w:p w14:paraId="56668AEA" w14:textId="77777777" w:rsidR="003B6829" w:rsidRPr="00E9525C" w:rsidRDefault="003B6829" w:rsidP="003B6829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520"/>
              <w:gridCol w:w="1680"/>
            </w:tblGrid>
            <w:tr w:rsidR="003B6829" w:rsidRPr="00E9525C" w14:paraId="6E079144" w14:textId="77777777" w:rsidTr="00442200">
              <w:trPr>
                <w:jc w:val="center"/>
              </w:trPr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 w:themeFill="accent6" w:themeFillTint="66"/>
                </w:tcPr>
                <w:p w14:paraId="36EC0D86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sz w:val="20"/>
                      <w:szCs w:val="20"/>
                    </w:rPr>
                    <w:t>Puncte obținute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 w:themeFill="accent6" w:themeFillTint="66"/>
                </w:tcPr>
                <w:p w14:paraId="18CF9158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sz w:val="20"/>
                      <w:szCs w:val="20"/>
                    </w:rPr>
                    <w:t>Notă</w:t>
                  </w:r>
                </w:p>
              </w:tc>
            </w:tr>
            <w:tr w:rsidR="003B6829" w:rsidRPr="00E9525C" w14:paraId="6F6C6FED" w14:textId="77777777" w:rsidTr="00442200">
              <w:trPr>
                <w:jc w:val="center"/>
              </w:trPr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5CD5AA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b/>
                      <w:color w:val="FF0000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color w:val="FF0000"/>
                      <w:sz w:val="20"/>
                      <w:szCs w:val="20"/>
                    </w:rPr>
                    <w:t>Cel mult 50 punte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B7DAD42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b/>
                      <w:color w:val="FF0000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color w:val="FF0000"/>
                      <w:sz w:val="20"/>
                      <w:szCs w:val="20"/>
                    </w:rPr>
                    <w:t>Respins</w:t>
                  </w:r>
                </w:p>
              </w:tc>
            </w:tr>
            <w:tr w:rsidR="003B6829" w:rsidRPr="00E9525C" w14:paraId="43AEBC51" w14:textId="77777777" w:rsidTr="00442200">
              <w:trPr>
                <w:jc w:val="center"/>
              </w:trPr>
              <w:tc>
                <w:tcPr>
                  <w:tcW w:w="25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E0EC4B8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sz w:val="20"/>
                      <w:szCs w:val="20"/>
                    </w:rPr>
                    <w:t>51-58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9D96CC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  <w:tr w:rsidR="003B6829" w:rsidRPr="00E9525C" w14:paraId="2E1BD9DD" w14:textId="77777777" w:rsidTr="00442200">
              <w:trPr>
                <w:jc w:val="center"/>
              </w:trPr>
              <w:tc>
                <w:tcPr>
                  <w:tcW w:w="25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17B4FB6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sz w:val="20"/>
                      <w:szCs w:val="20"/>
                    </w:rPr>
                    <w:t>59-66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2ADBC42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sz w:val="20"/>
                      <w:szCs w:val="20"/>
                    </w:rPr>
                    <w:t>6</w:t>
                  </w:r>
                </w:p>
              </w:tc>
            </w:tr>
            <w:tr w:rsidR="003B6829" w:rsidRPr="00E9525C" w14:paraId="48DF32FD" w14:textId="77777777" w:rsidTr="00442200">
              <w:trPr>
                <w:jc w:val="center"/>
              </w:trPr>
              <w:tc>
                <w:tcPr>
                  <w:tcW w:w="25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D81BB5D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sz w:val="20"/>
                      <w:szCs w:val="20"/>
                    </w:rPr>
                    <w:t>67-74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4FDD4F2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3B6829" w:rsidRPr="00E9525C" w14:paraId="57D124E5" w14:textId="77777777" w:rsidTr="00442200">
              <w:trPr>
                <w:jc w:val="center"/>
              </w:trPr>
              <w:tc>
                <w:tcPr>
                  <w:tcW w:w="25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5B3DD1E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sz w:val="20"/>
                      <w:szCs w:val="20"/>
                    </w:rPr>
                    <w:t>75-82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0368D22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sz w:val="20"/>
                      <w:szCs w:val="20"/>
                    </w:rPr>
                    <w:t>8</w:t>
                  </w:r>
                </w:p>
              </w:tc>
            </w:tr>
            <w:tr w:rsidR="003B6829" w:rsidRPr="00E9525C" w14:paraId="475A0A86" w14:textId="77777777" w:rsidTr="00442200">
              <w:trPr>
                <w:jc w:val="center"/>
              </w:trPr>
              <w:tc>
                <w:tcPr>
                  <w:tcW w:w="25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D815357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sz w:val="20"/>
                      <w:szCs w:val="20"/>
                    </w:rPr>
                    <w:t>83-90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566E488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sz w:val="20"/>
                      <w:szCs w:val="20"/>
                    </w:rPr>
                    <w:t>9</w:t>
                  </w:r>
                </w:p>
              </w:tc>
            </w:tr>
            <w:tr w:rsidR="003B6829" w:rsidRPr="00E9525C" w14:paraId="4BFE030E" w14:textId="77777777" w:rsidTr="00442200">
              <w:trPr>
                <w:jc w:val="center"/>
              </w:trPr>
              <w:tc>
                <w:tcPr>
                  <w:tcW w:w="2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29DB4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sz w:val="20"/>
                      <w:szCs w:val="20"/>
                    </w:rPr>
                    <w:t>91-100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8F93A" w14:textId="77777777" w:rsidR="003B6829" w:rsidRPr="00E9525C" w:rsidRDefault="003B6829" w:rsidP="003B6829">
                  <w:pPr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E9525C">
                    <w:rPr>
                      <w:rFonts w:cs="Times New Roman"/>
                      <w:b/>
                      <w:sz w:val="20"/>
                      <w:szCs w:val="20"/>
                    </w:rPr>
                    <w:t>10</w:t>
                  </w:r>
                </w:p>
              </w:tc>
            </w:tr>
          </w:tbl>
          <w:p w14:paraId="3E49E658" w14:textId="72F51FCC" w:rsidR="00E278BB" w:rsidRPr="00E9525C" w:rsidRDefault="00E278BB" w:rsidP="00E9525C">
            <w:pPr>
              <w:tabs>
                <w:tab w:val="left" w:pos="31"/>
              </w:tabs>
              <w:jc w:val="both"/>
              <w:rPr>
                <w:sz w:val="20"/>
                <w:szCs w:val="20"/>
              </w:rPr>
            </w:pPr>
            <w:r w:rsidRPr="00E278BB">
              <w:rPr>
                <w:b/>
                <w:sz w:val="20"/>
                <w:szCs w:val="20"/>
              </w:rPr>
              <w:t xml:space="preserve">Evaluarea pentru situația de restanță </w:t>
            </w:r>
            <w:r w:rsidRPr="00E9525C">
              <w:rPr>
                <w:sz w:val="20"/>
                <w:szCs w:val="20"/>
              </w:rPr>
              <w:t xml:space="preserve">păstrează același sistem în cazul </w:t>
            </w:r>
            <w:r w:rsidRPr="00E9525C">
              <w:rPr>
                <w:b/>
                <w:bCs/>
                <w:i/>
                <w:iCs/>
                <w:sz w:val="20"/>
                <w:szCs w:val="20"/>
              </w:rPr>
              <w:t>evaluării aspectelor teoretice</w:t>
            </w:r>
            <w:r w:rsidRPr="00E9525C">
              <w:rPr>
                <w:sz w:val="20"/>
                <w:szCs w:val="20"/>
              </w:rPr>
              <w:t xml:space="preserve">: </w:t>
            </w:r>
          </w:p>
          <w:p w14:paraId="341682E7" w14:textId="77777777" w:rsidR="00E278BB" w:rsidRPr="00E9525C" w:rsidRDefault="00E278BB" w:rsidP="00E278BB">
            <w:pPr>
              <w:pStyle w:val="ListParagraph"/>
              <w:numPr>
                <w:ilvl w:val="0"/>
                <w:numId w:val="44"/>
              </w:numPr>
              <w:tabs>
                <w:tab w:val="left" w:pos="284"/>
              </w:tabs>
              <w:spacing w:after="160"/>
              <w:ind w:left="284" w:hanging="284"/>
              <w:jc w:val="both"/>
              <w:rPr>
                <w:sz w:val="20"/>
                <w:szCs w:val="20"/>
              </w:rPr>
            </w:pPr>
            <w:r w:rsidRPr="00E9525C">
              <w:rPr>
                <w:sz w:val="20"/>
                <w:szCs w:val="20"/>
              </w:rPr>
              <w:t>Test din conținuturile teoretice ale cursurilor și seminarelor C1/S1-C14/S7;</w:t>
            </w:r>
          </w:p>
          <w:p w14:paraId="5EA8B5F4" w14:textId="29545892" w:rsidR="00E278BB" w:rsidRPr="00E9525C" w:rsidRDefault="00E278BB" w:rsidP="00E9525C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E9525C">
              <w:rPr>
                <w:sz w:val="20"/>
                <w:szCs w:val="20"/>
              </w:rPr>
              <w:t xml:space="preserve">Se modifică sistemul în cazul </w:t>
            </w:r>
            <w:r w:rsidRPr="00E9525C">
              <w:rPr>
                <w:b/>
                <w:bCs/>
                <w:i/>
                <w:iCs/>
                <w:sz w:val="20"/>
                <w:szCs w:val="20"/>
              </w:rPr>
              <w:t>evaluării aspectelor practice</w:t>
            </w:r>
            <w:r w:rsidR="00DB4029">
              <w:rPr>
                <w:b/>
                <w:bCs/>
                <w:i/>
                <w:iCs/>
                <w:sz w:val="20"/>
                <w:szCs w:val="20"/>
              </w:rPr>
              <w:t>,</w:t>
            </w:r>
            <w:r w:rsidRPr="00E9525C">
              <w:rPr>
                <w:sz w:val="20"/>
                <w:szCs w:val="20"/>
              </w:rPr>
              <w:t xml:space="preserve"> după cum urmează:</w:t>
            </w:r>
          </w:p>
          <w:p w14:paraId="095929E9" w14:textId="1A74FB36" w:rsidR="00E278BB" w:rsidRPr="00E9525C" w:rsidRDefault="00E278BB" w:rsidP="00E278BB">
            <w:pPr>
              <w:pStyle w:val="ListParagraph"/>
              <w:numPr>
                <w:ilvl w:val="0"/>
                <w:numId w:val="45"/>
              </w:numPr>
              <w:tabs>
                <w:tab w:val="left" w:pos="284"/>
              </w:tabs>
              <w:spacing w:after="160"/>
              <w:ind w:left="284" w:hanging="284"/>
              <w:jc w:val="both"/>
              <w:rPr>
                <w:sz w:val="20"/>
                <w:szCs w:val="20"/>
              </w:rPr>
            </w:pPr>
            <w:r w:rsidRPr="00E9525C">
              <w:rPr>
                <w:sz w:val="20"/>
                <w:szCs w:val="20"/>
              </w:rPr>
              <w:t xml:space="preserve">activitatea de susținere a unei sesiuni de training va fi înlocuită cu </w:t>
            </w:r>
            <w:r w:rsidRPr="00D707B3">
              <w:rPr>
                <w:sz w:val="20"/>
                <w:szCs w:val="20"/>
              </w:rPr>
              <w:t>realizarea unui plan de lucru care să prezinte în detaliu pașii/etapele și tot ce ar fi presupus susținerea unei teme alese din lista celor oferite</w:t>
            </w:r>
            <w:r w:rsidRPr="00E9525C">
              <w:rPr>
                <w:sz w:val="20"/>
                <w:szCs w:val="20"/>
              </w:rPr>
              <w:t>;</w:t>
            </w:r>
          </w:p>
          <w:p w14:paraId="3CA98212" w14:textId="32C29C8B" w:rsidR="00E278BB" w:rsidRPr="00E9525C" w:rsidRDefault="00E278BB" w:rsidP="00E278BB">
            <w:pPr>
              <w:pStyle w:val="ListParagraph"/>
              <w:numPr>
                <w:ilvl w:val="0"/>
                <w:numId w:val="45"/>
              </w:numPr>
              <w:tabs>
                <w:tab w:val="left" w:pos="284"/>
              </w:tabs>
              <w:spacing w:after="160"/>
              <w:ind w:left="284" w:hanging="284"/>
              <w:jc w:val="both"/>
              <w:rPr>
                <w:sz w:val="20"/>
                <w:szCs w:val="20"/>
              </w:rPr>
            </w:pPr>
            <w:r w:rsidRPr="00E9525C">
              <w:rPr>
                <w:sz w:val="20"/>
                <w:szCs w:val="20"/>
              </w:rPr>
              <w:t xml:space="preserve">se vor alege două dintre cursurile predate de-a lungul semestrului și se va scrie un </w:t>
            </w:r>
            <w:r w:rsidRPr="00D707B3">
              <w:rPr>
                <w:sz w:val="20"/>
                <w:szCs w:val="20"/>
              </w:rPr>
              <w:t xml:space="preserve">jurnal reflexiv </w:t>
            </w:r>
            <w:r w:rsidRPr="00E9525C">
              <w:rPr>
                <w:sz w:val="20"/>
                <w:szCs w:val="20"/>
              </w:rPr>
              <w:t xml:space="preserve">referitor la conținuturile acestora, după </w:t>
            </w:r>
            <w:r>
              <w:rPr>
                <w:sz w:val="20"/>
                <w:szCs w:val="20"/>
              </w:rPr>
              <w:t>modelul oferit</w:t>
            </w:r>
            <w:r w:rsidRPr="00E9525C">
              <w:rPr>
                <w:sz w:val="20"/>
                <w:szCs w:val="20"/>
              </w:rPr>
              <w:t>:</w:t>
            </w:r>
          </w:p>
          <w:p w14:paraId="63CCD5D4" w14:textId="77777777" w:rsidR="00E97844" w:rsidRPr="00E97844" w:rsidRDefault="00E97844" w:rsidP="00361E7A">
            <w:pPr>
              <w:pStyle w:val="NoSpacing"/>
              <w:jc w:val="both"/>
              <w:rPr>
                <w:rFonts w:ascii="Times New Roman" w:hAnsi="Times New Roman"/>
                <w:b/>
                <w:sz w:val="16"/>
                <w:szCs w:val="16"/>
                <w:lang w:val="ro-RO"/>
              </w:rPr>
            </w:pPr>
          </w:p>
          <w:p w14:paraId="565A5811" w14:textId="77777777" w:rsidR="00C40FFE" w:rsidRDefault="00C40FFE" w:rsidP="00361E7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82E3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Evaluarea pentru mărire de notă</w:t>
            </w: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Pr="00882E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păstrează sistemul de grilă din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întregul </w:t>
            </w:r>
            <w:r w:rsidRPr="00882E3F">
              <w:rPr>
                <w:rFonts w:ascii="Times New Roman" w:hAnsi="Times New Roman"/>
                <w:sz w:val="20"/>
                <w:szCs w:val="20"/>
                <w:lang w:val="ro-RO"/>
              </w:rPr>
              <w:t>conținut informațional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(curs și seminar)</w:t>
            </w:r>
            <w:r w:rsidRPr="00882E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cu precizarea că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va cuprinde </w:t>
            </w:r>
            <w:r w:rsidRPr="001176ED">
              <w:rPr>
                <w:rFonts w:ascii="Times New Roman" w:hAnsi="Times New Roman"/>
                <w:b/>
                <w:i/>
                <w:sz w:val="20"/>
                <w:szCs w:val="20"/>
                <w:lang w:val="ro-RO"/>
              </w:rPr>
              <w:t>doar situații problematice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o-RO"/>
              </w:rPr>
              <w:t xml:space="preserve"> sau mini-studii de caz</w:t>
            </w:r>
            <w:r w:rsidRPr="00882E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similare celor discutate la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curs și</w:t>
            </w:r>
            <w:r w:rsidRPr="00882E3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seminar.</w:t>
            </w:r>
          </w:p>
          <w:p w14:paraId="61B6255B" w14:textId="77777777" w:rsidR="00D20C05" w:rsidRDefault="00D20C05" w:rsidP="00361E7A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  <w:p w14:paraId="319F6BCE" w14:textId="2FC3B422" w:rsidR="00D20C05" w:rsidRPr="00D20C05" w:rsidRDefault="00D20C05" w:rsidP="00361E7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D20C05">
              <w:rPr>
                <w:rFonts w:ascii="Times New Roman" w:hAnsi="Times New Roman"/>
                <w:b/>
                <w:bCs/>
                <w:color w:val="0070C0"/>
                <w:sz w:val="20"/>
                <w:szCs w:val="20"/>
                <w:lang w:val="ro-RO"/>
              </w:rPr>
              <w:t>Toate aceste informații sunt detaliate în Anexa 1, asociată acestei fișe a disciplinei și esențială pentru evaluare.</w:t>
            </w:r>
          </w:p>
        </w:tc>
        <w:tc>
          <w:tcPr>
            <w:tcW w:w="986" w:type="dxa"/>
            <w:shd w:val="clear" w:color="auto" w:fill="auto"/>
          </w:tcPr>
          <w:p w14:paraId="38DDBC73" w14:textId="77777777" w:rsidR="00F25459" w:rsidRDefault="00F25459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078279B1" w14:textId="77777777" w:rsidR="00F25459" w:rsidRDefault="00F25459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4847D541" w14:textId="77777777" w:rsidR="00F25459" w:rsidRDefault="00F25459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7E6782B3" w14:textId="77777777" w:rsidR="00F25459" w:rsidRDefault="00F25459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0A2141FB" w14:textId="77777777" w:rsidR="00F25459" w:rsidRDefault="00F25459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2691C235" w14:textId="640E0D4D" w:rsidR="00C40FFE" w:rsidRDefault="00F15C13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  <w:r w:rsidR="00C40FFE">
              <w:rPr>
                <w:rFonts w:ascii="Times New Roman" w:hAnsi="Times New Roman"/>
                <w:lang w:val="ro-RO"/>
              </w:rPr>
              <w:t>%</w:t>
            </w:r>
            <w:r>
              <w:rPr>
                <w:rFonts w:ascii="Times New Roman" w:hAnsi="Times New Roman"/>
                <w:lang w:val="ro-RO"/>
              </w:rPr>
              <w:t xml:space="preserve"> aspecte teoretice</w:t>
            </w:r>
          </w:p>
          <w:p w14:paraId="002BD2C0" w14:textId="77777777" w:rsidR="00F15C13" w:rsidRDefault="00F15C13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38FC8DEF" w14:textId="77777777" w:rsidR="00F15C13" w:rsidRDefault="00F15C13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4FBF397E" w14:textId="77777777" w:rsidR="00E20509" w:rsidRDefault="00E20509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02E29EEF" w14:textId="77777777" w:rsidR="00F15C13" w:rsidRDefault="00F15C13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 aspecte practice</w:t>
            </w:r>
          </w:p>
          <w:p w14:paraId="66E02B37" w14:textId="77777777" w:rsidR="00F15C13" w:rsidRDefault="00F15C13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7F6928E4" w14:textId="77777777" w:rsidR="00E20509" w:rsidRDefault="00E20509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7D27289E" w14:textId="77777777" w:rsidR="00E20509" w:rsidRDefault="00E20509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73D724B5" w14:textId="77777777" w:rsidR="00F15C13" w:rsidRDefault="00F15C13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4BF77FD9" w14:textId="44F6413A" w:rsidR="00F15C13" w:rsidRPr="002559F2" w:rsidRDefault="00F15C13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20% prezență</w:t>
            </w:r>
          </w:p>
        </w:tc>
      </w:tr>
      <w:tr w:rsidR="00BF1867" w:rsidRPr="002559F2" w14:paraId="51B60B6B" w14:textId="77777777" w:rsidTr="00F73144">
        <w:trPr>
          <w:trHeight w:val="591"/>
        </w:trPr>
        <w:tc>
          <w:tcPr>
            <w:tcW w:w="1022" w:type="dxa"/>
            <w:tcBorders>
              <w:top w:val="nil"/>
            </w:tcBorders>
            <w:shd w:val="clear" w:color="auto" w:fill="EEECE1" w:themeFill="background2"/>
          </w:tcPr>
          <w:p w14:paraId="55D0D379" w14:textId="3930902E" w:rsidR="00BF1867" w:rsidRPr="00CA2EE9" w:rsidRDefault="00BF1867" w:rsidP="00CA2EE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4DB993" w14:textId="77777777" w:rsidR="00BF1867" w:rsidRPr="002559F2" w:rsidRDefault="00BF1867" w:rsidP="00FD251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245" w:type="dxa"/>
            <w:shd w:val="clear" w:color="auto" w:fill="auto"/>
          </w:tcPr>
          <w:p w14:paraId="7CA4AB03" w14:textId="639BC721" w:rsidR="00BF1867" w:rsidRPr="00F42FC1" w:rsidRDefault="00BF1867" w:rsidP="00F42FC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</w:t>
            </w:r>
            <w:r w:rsidRPr="00FF160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entru participarea la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toate</w:t>
            </w:r>
            <w:r w:rsidRPr="00FF160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orele de curs și seminar, </w:t>
            </w:r>
            <w:r w:rsidRPr="00FB3E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 acordă un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1p bonus </w:t>
            </w:r>
            <w:r w:rsidRPr="00815CEA">
              <w:rPr>
                <w:rFonts w:ascii="Times New Roman" w:hAnsi="Times New Roman"/>
                <w:sz w:val="20"/>
                <w:szCs w:val="20"/>
                <w:lang w:val="ro-RO"/>
              </w:rPr>
              <w:t>la nota finală</w:t>
            </w:r>
            <w:r w:rsidDel="00FB665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(dacă este cazul).</w:t>
            </w:r>
          </w:p>
        </w:tc>
        <w:tc>
          <w:tcPr>
            <w:tcW w:w="986" w:type="dxa"/>
            <w:shd w:val="clear" w:color="auto" w:fill="auto"/>
          </w:tcPr>
          <w:p w14:paraId="7583C5DF" w14:textId="66E97253" w:rsidR="00BF1867" w:rsidRDefault="00BF1867" w:rsidP="00FD2516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31DA">
              <w:rPr>
                <w:rFonts w:ascii="Times New Roman" w:hAnsi="Times New Roman"/>
                <w:sz w:val="20"/>
                <w:szCs w:val="20"/>
                <w:lang w:val="ro-RO"/>
              </w:rPr>
              <w:t>1p bonus</w:t>
            </w:r>
          </w:p>
          <w:p w14:paraId="0AA4073B" w14:textId="37C89EF5" w:rsidR="00BF1867" w:rsidRPr="002831DA" w:rsidRDefault="00BF1867" w:rsidP="00FD2516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D2516" w:rsidRPr="002559F2" w14:paraId="7753BD29" w14:textId="77777777" w:rsidTr="00F73144">
        <w:trPr>
          <w:trHeight w:val="413"/>
        </w:trPr>
        <w:tc>
          <w:tcPr>
            <w:tcW w:w="9379" w:type="dxa"/>
            <w:gridSpan w:val="4"/>
            <w:shd w:val="clear" w:color="auto" w:fill="EEECE1" w:themeFill="background2"/>
          </w:tcPr>
          <w:p w14:paraId="1AEC53B3" w14:textId="4A09A8B1" w:rsidR="00FD2516" w:rsidRPr="00CA2EE9" w:rsidRDefault="00CA2EE9" w:rsidP="00FD251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A2EE9">
              <w:rPr>
                <w:rFonts w:ascii="Times New Roman" w:hAnsi="Times New Roman"/>
                <w:b/>
                <w:lang w:val="ro-RO"/>
              </w:rPr>
              <w:t>9</w:t>
            </w:r>
            <w:r w:rsidR="00FD2516" w:rsidRPr="00CA2EE9">
              <w:rPr>
                <w:rFonts w:ascii="Times New Roman" w:hAnsi="Times New Roman"/>
                <w:b/>
                <w:lang w:val="ro-RO"/>
              </w:rPr>
              <w:t>.6 Standard minim de performanță</w:t>
            </w:r>
          </w:p>
        </w:tc>
      </w:tr>
      <w:tr w:rsidR="00FD2516" w:rsidRPr="002559F2" w14:paraId="00CB4107" w14:textId="77777777" w:rsidTr="00F73144">
        <w:trPr>
          <w:trHeight w:val="413"/>
        </w:trPr>
        <w:tc>
          <w:tcPr>
            <w:tcW w:w="9379" w:type="dxa"/>
            <w:gridSpan w:val="4"/>
            <w:shd w:val="clear" w:color="auto" w:fill="EEECE1" w:themeFill="background2"/>
          </w:tcPr>
          <w:p w14:paraId="63D51674" w14:textId="2AE2902B" w:rsidR="00835E8A" w:rsidRPr="002559F2" w:rsidRDefault="003C627F" w:rsidP="00BF1867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</w:t>
            </w:r>
            <w:r w:rsidR="00FD2516" w:rsidRPr="00882E3F">
              <w:rPr>
                <w:rFonts w:ascii="Times New Roman" w:hAnsi="Times New Roman"/>
                <w:sz w:val="20"/>
                <w:szCs w:val="20"/>
                <w:lang w:val="ro-RO"/>
              </w:rPr>
              <w:t>entru ca disciplina să fie considerată promovată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este necesară obținerea punctajului minim de 50p din sarcinile cuprinse în evaluare</w:t>
            </w:r>
            <w:r w:rsidR="00FD2516" w:rsidRPr="00882E3F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</w:tbl>
    <w:p w14:paraId="4FE0EF6C" w14:textId="77777777" w:rsidR="00E0255D" w:rsidRPr="002559F2" w:rsidRDefault="00E0255D" w:rsidP="00752E1C">
      <w:pPr>
        <w:jc w:val="center"/>
        <w:rPr>
          <w:sz w:val="22"/>
          <w:szCs w:val="22"/>
        </w:rPr>
      </w:pPr>
    </w:p>
    <w:p w14:paraId="2707918E" w14:textId="530DA805" w:rsidR="00802D13" w:rsidRPr="002559F2" w:rsidRDefault="005F6BF6" w:rsidP="00802D13">
      <w:pPr>
        <w:rPr>
          <w:rFonts w:eastAsia="Calibri"/>
          <w:sz w:val="22"/>
          <w:szCs w:val="22"/>
        </w:rPr>
      </w:pPr>
      <w:r w:rsidRPr="002559F2">
        <w:rPr>
          <w:rFonts w:eastAsia="Calibri"/>
          <w:sz w:val="22"/>
          <w:szCs w:val="22"/>
        </w:rPr>
        <w:t>Data completării                                                                                                           Titular de disciplină</w:t>
      </w:r>
    </w:p>
    <w:p w14:paraId="02BBEA29" w14:textId="47AB49ED" w:rsidR="005F6BF6" w:rsidRPr="002559F2" w:rsidRDefault="0053018D" w:rsidP="00802D13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10</w:t>
      </w:r>
      <w:r w:rsidR="005637E2">
        <w:rPr>
          <w:rFonts w:eastAsia="Calibri"/>
          <w:sz w:val="22"/>
          <w:szCs w:val="22"/>
        </w:rPr>
        <w:t>.09.</w:t>
      </w:r>
      <w:r w:rsidR="00772AAB">
        <w:rPr>
          <w:rFonts w:eastAsia="Calibri"/>
          <w:sz w:val="22"/>
          <w:szCs w:val="22"/>
        </w:rPr>
        <w:t>202</w:t>
      </w:r>
      <w:r>
        <w:rPr>
          <w:rFonts w:eastAsia="Calibri"/>
          <w:sz w:val="22"/>
          <w:szCs w:val="22"/>
        </w:rPr>
        <w:t>3</w:t>
      </w:r>
      <w:r w:rsidR="005637E2">
        <w:rPr>
          <w:rFonts w:eastAsia="Calibri"/>
          <w:sz w:val="22"/>
          <w:szCs w:val="22"/>
        </w:rPr>
        <w:tab/>
      </w:r>
      <w:r w:rsidR="005637E2">
        <w:rPr>
          <w:rFonts w:eastAsia="Calibri"/>
          <w:sz w:val="22"/>
          <w:szCs w:val="22"/>
        </w:rPr>
        <w:tab/>
      </w:r>
      <w:r w:rsidR="005637E2">
        <w:rPr>
          <w:rFonts w:eastAsia="Calibri"/>
          <w:sz w:val="22"/>
          <w:szCs w:val="22"/>
        </w:rPr>
        <w:tab/>
      </w:r>
      <w:r w:rsidR="005637E2">
        <w:rPr>
          <w:rFonts w:eastAsia="Calibri"/>
          <w:sz w:val="22"/>
          <w:szCs w:val="22"/>
        </w:rPr>
        <w:tab/>
      </w:r>
      <w:r w:rsidR="005637E2">
        <w:rPr>
          <w:rFonts w:eastAsia="Calibri"/>
          <w:sz w:val="22"/>
          <w:szCs w:val="22"/>
        </w:rPr>
        <w:tab/>
      </w:r>
      <w:r w:rsidR="005637E2">
        <w:rPr>
          <w:rFonts w:eastAsia="Calibri"/>
          <w:sz w:val="22"/>
          <w:szCs w:val="22"/>
        </w:rPr>
        <w:tab/>
      </w:r>
      <w:r w:rsidR="005637E2">
        <w:rPr>
          <w:rFonts w:eastAsia="Calibri"/>
          <w:sz w:val="22"/>
          <w:szCs w:val="22"/>
        </w:rPr>
        <w:tab/>
      </w:r>
      <w:r w:rsidR="005637E2">
        <w:rPr>
          <w:rFonts w:eastAsia="Calibri"/>
          <w:sz w:val="22"/>
          <w:szCs w:val="22"/>
        </w:rPr>
        <w:tab/>
      </w:r>
      <w:r w:rsidR="005637E2">
        <w:rPr>
          <w:rFonts w:eastAsia="Calibri"/>
          <w:sz w:val="22"/>
          <w:szCs w:val="22"/>
        </w:rPr>
        <w:tab/>
        <w:t>Conf.dr. Ramona Paloș</w:t>
      </w:r>
    </w:p>
    <w:p w14:paraId="5C94F5E2" w14:textId="77777777" w:rsidR="005F6BF6" w:rsidRPr="002559F2" w:rsidRDefault="005F6BF6" w:rsidP="00802D13">
      <w:pPr>
        <w:rPr>
          <w:rFonts w:eastAsia="Calibri"/>
          <w:sz w:val="22"/>
          <w:szCs w:val="22"/>
        </w:rPr>
      </w:pPr>
    </w:p>
    <w:p w14:paraId="339B2856" w14:textId="1C1E0DF3" w:rsidR="005F6BF6" w:rsidRDefault="005F6BF6" w:rsidP="00802D13">
      <w:pPr>
        <w:rPr>
          <w:rFonts w:eastAsia="Calibri"/>
          <w:sz w:val="22"/>
          <w:szCs w:val="22"/>
        </w:rPr>
      </w:pPr>
      <w:r w:rsidRPr="002559F2">
        <w:rPr>
          <w:rFonts w:eastAsia="Calibri"/>
          <w:sz w:val="22"/>
          <w:szCs w:val="22"/>
        </w:rPr>
        <w:t xml:space="preserve">Data avizării în departament                                                                            </w:t>
      </w:r>
      <w:r w:rsidR="00F73144">
        <w:rPr>
          <w:rFonts w:eastAsia="Calibri"/>
          <w:sz w:val="22"/>
          <w:szCs w:val="22"/>
        </w:rPr>
        <w:t xml:space="preserve">         </w:t>
      </w:r>
      <w:r w:rsidRPr="002559F2">
        <w:rPr>
          <w:rFonts w:eastAsia="Calibri"/>
          <w:sz w:val="22"/>
          <w:szCs w:val="22"/>
        </w:rPr>
        <w:t>Director de departament</w:t>
      </w:r>
    </w:p>
    <w:p w14:paraId="316C9C62" w14:textId="2EB82C4D" w:rsidR="005637E2" w:rsidRPr="005637E2" w:rsidRDefault="005637E2" w:rsidP="005637E2">
      <w:pPr>
        <w:jc w:val="right"/>
        <w:rPr>
          <w:rFonts w:eastAsia="Calibri"/>
          <w:sz w:val="22"/>
          <w:szCs w:val="22"/>
        </w:rPr>
      </w:pPr>
      <w:r w:rsidRPr="005637E2">
        <w:rPr>
          <w:sz w:val="22"/>
          <w:szCs w:val="22"/>
        </w:rPr>
        <w:t>Prof. univ. dr. Delia Vîrgă</w:t>
      </w:r>
    </w:p>
    <w:sectPr w:rsidR="005637E2" w:rsidRPr="005637E2" w:rsidSect="0086407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1266F" w14:textId="77777777" w:rsidR="007C11BC" w:rsidRDefault="007C11BC" w:rsidP="003E226A">
      <w:r>
        <w:separator/>
      </w:r>
    </w:p>
  </w:endnote>
  <w:endnote w:type="continuationSeparator" w:id="0">
    <w:p w14:paraId="0A057200" w14:textId="77777777" w:rsidR="007C11BC" w:rsidRDefault="007C11BC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charset w:val="00"/>
    <w:family w:val="swiss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????????a Neue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-Roman">
    <w:altName w:val="Times New Roman"/>
    <w:panose1 w:val="00000000000000000000"/>
    <w:charset w:val="00"/>
    <w:family w:val="roman"/>
    <w:notTrueType/>
    <w:pitch w:val="default"/>
  </w:font>
  <w:font w:name="Palatino-ItalicOs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00365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26E8FC" w14:textId="3D06CDCE" w:rsidR="00801333" w:rsidRDefault="00801333">
            <w:pPr>
              <w:pStyle w:val="Footer"/>
              <w:jc w:val="right"/>
              <w:rPr>
                <w:bCs/>
                <w:sz w:val="20"/>
                <w:szCs w:val="20"/>
              </w:rPr>
            </w:pPr>
            <w:r w:rsidRPr="00E41A62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FA0BE3E" wp14:editId="7FBABFB7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151493</wp:posOffset>
                      </wp:positionV>
                      <wp:extent cx="6707687" cy="655955"/>
                      <wp:effectExtent l="0" t="0" r="17145" b="10795"/>
                      <wp:wrapNone/>
                      <wp:docPr id="2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6707687" cy="655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905B14" w14:textId="77777777" w:rsidR="00801333" w:rsidRPr="00713E4D" w:rsidRDefault="00801333" w:rsidP="00801333">
                                  <w:pPr>
                                    <w:ind w:left="-426" w:right="-158"/>
                                    <w:jc w:val="center"/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 xml:space="preserve">Adresă poștală: </w:t>
                                  </w:r>
                                  <w:r w:rsidRPr="00713E4D"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>Bd. Vasile Pârvan nr. 4,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 xml:space="preserve"> cod poștal </w:t>
                                  </w:r>
                                  <w:r w:rsidRPr="00713E4D"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>300223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>,</w:t>
                                  </w:r>
                                  <w:r w:rsidRPr="00713E4D"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 xml:space="preserve"> Timi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>ș</w:t>
                                  </w:r>
                                  <w:r w:rsidRPr="00713E4D"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>oara,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 xml:space="preserve"> jud. Timiș,</w:t>
                                  </w:r>
                                  <w:r w:rsidRPr="00713E4D"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 xml:space="preserve"> România</w:t>
                                  </w:r>
                                  <w:r w:rsidRPr="00713E4D"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>Număr de t</w:t>
                                  </w:r>
                                  <w:r w:rsidRPr="00713E4D"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>efon</w:t>
                                  </w:r>
                                  <w:r w:rsidRPr="00713E4D"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>: +40-(0)256-592.300 (310)</w:t>
                                  </w:r>
                                </w:p>
                                <w:p w14:paraId="6702DD17" w14:textId="77777777" w:rsidR="00801333" w:rsidRPr="00713E4D" w:rsidRDefault="00801333" w:rsidP="00801333">
                                  <w:pPr>
                                    <w:ind w:left="-426" w:right="-158"/>
                                    <w:jc w:val="center"/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</w:rPr>
                                    <w:t>Adresă de e-</w:t>
                                  </w:r>
                                  <w:r w:rsidRPr="00713E4D"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</w:rPr>
                                    <w:t xml:space="preserve">mail: </w:t>
                                  </w:r>
                                  <w:hyperlink r:id="rId1" w:history="1">
                                    <w:r w:rsidRPr="00C14CCA">
                                      <w:rPr>
                                        <w:rStyle w:val="Hyperlink"/>
                                        <w:rFonts w:ascii="Arial" w:hAnsi="Arial" w:cs="Arial"/>
                                        <w:sz w:val="17"/>
                                        <w:szCs w:val="17"/>
                                        <w:shd w:val="clear" w:color="auto" w:fill="FFFFFF"/>
                                      </w:rPr>
                                      <w:t>secretariat@e-uvt.ro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</w:p>
                                <w:p w14:paraId="73E8987D" w14:textId="77777777" w:rsidR="00801333" w:rsidRDefault="00801333" w:rsidP="0080133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A6A6A6" w:themeColor="background1" w:themeShade="A6"/>
                                      <w:sz w:val="17"/>
                                      <w:szCs w:val="17"/>
                                      <w:shd w:val="clear" w:color="auto" w:fill="FFFFFF"/>
                                    </w:rPr>
                                    <w:t xml:space="preserve">Website: </w:t>
                                  </w:r>
                                  <w:hyperlink r:id="rId2" w:history="1">
                                    <w:r w:rsidRPr="00C14CCA">
                                      <w:rPr>
                                        <w:rStyle w:val="Hyperlink"/>
                                        <w:rFonts w:ascii="Arial" w:hAnsi="Arial" w:cs="Arial"/>
                                        <w:sz w:val="17"/>
                                        <w:szCs w:val="17"/>
                                        <w:shd w:val="clear" w:color="auto" w:fill="FFFFFF"/>
                                      </w:rPr>
                                      <w:t>www.uvt.ro</w:t>
                                    </w:r>
                                  </w:hyperlink>
                                </w:p>
                                <w:p w14:paraId="3D2EEB25" w14:textId="77777777" w:rsidR="00801333" w:rsidRDefault="00801333" w:rsidP="008013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A0BE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7" type="#_x0000_t202" style="position:absolute;left:0;text-align:left;margin-left:0;margin-top:11.95pt;width:528.15pt;height:51.65pt;z-index:251701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" strokecolor="white">
                      <v:path arrowok="t"/>
                      <v:textbox>
                        <w:txbxContent>
                          <w:p w14:paraId="32905B14" w14:textId="77777777" w:rsidR="00801333" w:rsidRPr="00713E4D" w:rsidRDefault="00801333" w:rsidP="00801333">
                            <w:pPr>
                              <w:ind w:left="-426" w:right="-158"/>
                              <w:jc w:val="center"/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 xml:space="preserve">Adresă poștală: </w:t>
                            </w:r>
                            <w:r w:rsidRPr="00713E4D"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>Bd. Vasile Pârvan nr. 4,</w:t>
                            </w: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 xml:space="preserve"> cod poștal </w:t>
                            </w:r>
                            <w:r w:rsidRPr="00713E4D"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>300223</w:t>
                            </w: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>,</w:t>
                            </w:r>
                            <w:r w:rsidRPr="00713E4D"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 xml:space="preserve"> Timi</w:t>
                            </w: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>ș</w:t>
                            </w:r>
                            <w:r w:rsidRPr="00713E4D"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>oara,</w:t>
                            </w: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 xml:space="preserve"> jud. Timiș,</w:t>
                            </w:r>
                            <w:r w:rsidRPr="00713E4D"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 xml:space="preserve"> România</w:t>
                            </w:r>
                            <w:r w:rsidRPr="00713E4D"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>Număr de t</w:t>
                            </w:r>
                            <w:r w:rsidRPr="00713E4D"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>el</w:t>
                            </w: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>efon</w:t>
                            </w:r>
                            <w:r w:rsidRPr="00713E4D"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>: +40-(0)256-592.300 (310)</w:t>
                            </w:r>
                          </w:p>
                          <w:p w14:paraId="6702DD17" w14:textId="77777777" w:rsidR="00801333" w:rsidRPr="00713E4D" w:rsidRDefault="00801333" w:rsidP="00801333">
                            <w:pPr>
                              <w:ind w:left="-426" w:right="-158"/>
                              <w:jc w:val="center"/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</w:rPr>
                              <w:t>Adresă de e-</w:t>
                            </w:r>
                            <w:r w:rsidRPr="00713E4D"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</w:rPr>
                              <w:t xml:space="preserve">mail: </w:t>
                            </w:r>
                            <w:hyperlink r:id="rId3" w:history="1">
                              <w:r w:rsidRPr="00C14CCA">
                                <w:rPr>
                                  <w:rStyle w:val="Hyperlink"/>
                                  <w:rFonts w:ascii="Arial" w:hAnsi="Arial" w:cs="Arial"/>
                                  <w:sz w:val="17"/>
                                  <w:szCs w:val="17"/>
                                  <w:shd w:val="clear" w:color="auto" w:fill="FFFFFF"/>
                                </w:rPr>
                                <w:t>secretariat@e-uvt.ro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73E8987D" w14:textId="77777777" w:rsidR="00801333" w:rsidRDefault="00801333" w:rsidP="0080133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7"/>
                                <w:szCs w:val="17"/>
                                <w:shd w:val="clear" w:color="auto" w:fill="FFFFFF"/>
                              </w:rPr>
                              <w:t xml:space="preserve">Website: </w:t>
                            </w:r>
                            <w:hyperlink r:id="rId4" w:history="1">
                              <w:r w:rsidRPr="00C14CCA">
                                <w:rPr>
                                  <w:rStyle w:val="Hyperlink"/>
                                  <w:rFonts w:ascii="Arial" w:hAnsi="Arial" w:cs="Arial"/>
                                  <w:sz w:val="17"/>
                                  <w:szCs w:val="17"/>
                                  <w:shd w:val="clear" w:color="auto" w:fill="FFFFFF"/>
                                </w:rPr>
                                <w:t>www.uvt.ro</w:t>
                              </w:r>
                            </w:hyperlink>
                          </w:p>
                          <w:p w14:paraId="3D2EEB25" w14:textId="77777777" w:rsidR="00801333" w:rsidRDefault="00801333" w:rsidP="00801333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801333">
              <w:rPr>
                <w:sz w:val="20"/>
                <w:szCs w:val="20"/>
              </w:rPr>
              <w:t xml:space="preserve">Page </w:t>
            </w:r>
            <w:r w:rsidRPr="00801333">
              <w:rPr>
                <w:bCs/>
                <w:sz w:val="20"/>
                <w:szCs w:val="20"/>
              </w:rPr>
              <w:fldChar w:fldCharType="begin"/>
            </w:r>
            <w:r w:rsidRPr="00801333">
              <w:rPr>
                <w:bCs/>
                <w:sz w:val="20"/>
                <w:szCs w:val="20"/>
              </w:rPr>
              <w:instrText xml:space="preserve"> PAGE </w:instrText>
            </w:r>
            <w:r w:rsidRPr="00801333">
              <w:rPr>
                <w:bCs/>
                <w:sz w:val="20"/>
                <w:szCs w:val="20"/>
              </w:rPr>
              <w:fldChar w:fldCharType="separate"/>
            </w:r>
            <w:r w:rsidR="00A85C66">
              <w:rPr>
                <w:bCs/>
                <w:noProof/>
                <w:sz w:val="20"/>
                <w:szCs w:val="20"/>
              </w:rPr>
              <w:t>4</w:t>
            </w:r>
            <w:r w:rsidRPr="00801333">
              <w:rPr>
                <w:bCs/>
                <w:sz w:val="20"/>
                <w:szCs w:val="20"/>
              </w:rPr>
              <w:fldChar w:fldCharType="end"/>
            </w:r>
            <w:r w:rsidRPr="00801333">
              <w:rPr>
                <w:sz w:val="20"/>
                <w:szCs w:val="20"/>
              </w:rPr>
              <w:t xml:space="preserve"> of </w:t>
            </w:r>
            <w:r w:rsidRPr="00801333">
              <w:rPr>
                <w:bCs/>
                <w:sz w:val="20"/>
                <w:szCs w:val="20"/>
              </w:rPr>
              <w:fldChar w:fldCharType="begin"/>
            </w:r>
            <w:r w:rsidRPr="00801333">
              <w:rPr>
                <w:bCs/>
                <w:sz w:val="20"/>
                <w:szCs w:val="20"/>
              </w:rPr>
              <w:instrText xml:space="preserve"> NUMPAGES  </w:instrText>
            </w:r>
            <w:r w:rsidRPr="00801333">
              <w:rPr>
                <w:bCs/>
                <w:sz w:val="20"/>
                <w:szCs w:val="20"/>
              </w:rPr>
              <w:fldChar w:fldCharType="separate"/>
            </w:r>
            <w:r w:rsidR="00A85C66">
              <w:rPr>
                <w:bCs/>
                <w:noProof/>
                <w:sz w:val="20"/>
                <w:szCs w:val="20"/>
              </w:rPr>
              <w:t>5</w:t>
            </w:r>
            <w:r w:rsidRPr="00801333"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>/202</w:t>
            </w:r>
            <w:r w:rsidR="00F25A99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-202</w:t>
            </w:r>
            <w:r w:rsidR="00F25A99">
              <w:rPr>
                <w:bCs/>
                <w:sz w:val="20"/>
                <w:szCs w:val="20"/>
              </w:rPr>
              <w:t>4</w:t>
            </w:r>
          </w:p>
          <w:p w14:paraId="7F93CDFE" w14:textId="4DE3F651" w:rsidR="00801333" w:rsidRDefault="00000000">
            <w:pPr>
              <w:pStyle w:val="Footer"/>
              <w:jc w:val="right"/>
            </w:pPr>
          </w:p>
        </w:sdtContent>
      </w:sdt>
    </w:sdtContent>
  </w:sdt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F5C41" w14:textId="77777777" w:rsidR="007C11BC" w:rsidRDefault="007C11BC" w:rsidP="003E226A">
      <w:r>
        <w:separator/>
      </w:r>
    </w:p>
  </w:footnote>
  <w:footnote w:type="continuationSeparator" w:id="0">
    <w:p w14:paraId="6E5CE208" w14:textId="77777777" w:rsidR="007C11BC" w:rsidRDefault="007C11BC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52889598"/>
  <w:bookmarkStart w:id="1" w:name="_Hlk52889599"/>
  <w:bookmarkStart w:id="2" w:name="_Hlk52889616"/>
  <w:bookmarkStart w:id="3" w:name="_Hlk52889617"/>
  <w:bookmarkStart w:id="4" w:name="_Hlk143432865"/>
  <w:bookmarkStart w:id="5" w:name="_Hlk143432866"/>
  <w:p w14:paraId="504F025B" w14:textId="746C1DA1" w:rsidR="001D34E8" w:rsidRDefault="00873907" w:rsidP="00802D13">
    <w:pPr>
      <w:pStyle w:val="Header"/>
      <w:tabs>
        <w:tab w:val="clear" w:pos="4536"/>
        <w:tab w:val="clear" w:pos="9072"/>
      </w:tabs>
      <w:ind w:right="-158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2C398866">
              <wp:simplePos x="0" y="0"/>
              <wp:positionH relativeFrom="column">
                <wp:posOffset>1278890</wp:posOffset>
              </wp:positionH>
              <wp:positionV relativeFrom="paragraph">
                <wp:posOffset>478155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00.7pt;margin-top:37.65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gDIgmuAAAAAKAQAADwAAAAAAAAAAAAAAAAA/BAAAZHJzL2Rvd25yZXYu&#10;eG1sUEsFBgAAAAAEAAQA8wAAAEwFAAAAAA==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178F8B89">
          <wp:simplePos x="0" y="0"/>
          <wp:positionH relativeFrom="column">
            <wp:posOffset>191770</wp:posOffset>
          </wp:positionH>
          <wp:positionV relativeFrom="paragraph">
            <wp:posOffset>877570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02D13"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0990042E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End w:id="0"/>
    <w:bookmarkEnd w:id="1"/>
    <w:bookmarkEnd w:id="2"/>
    <w:bookmarkEnd w:id="3"/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E31843"/>
    <w:multiLevelType w:val="hybridMultilevel"/>
    <w:tmpl w:val="0FF20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24F9"/>
    <w:multiLevelType w:val="hybridMultilevel"/>
    <w:tmpl w:val="2F4CC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00B9F"/>
    <w:multiLevelType w:val="hybridMultilevel"/>
    <w:tmpl w:val="494A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D36576"/>
    <w:multiLevelType w:val="hybridMultilevel"/>
    <w:tmpl w:val="4F5E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D4953"/>
    <w:multiLevelType w:val="hybridMultilevel"/>
    <w:tmpl w:val="7214E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57272F"/>
    <w:multiLevelType w:val="hybridMultilevel"/>
    <w:tmpl w:val="604E0C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3631D"/>
    <w:multiLevelType w:val="hybridMultilevel"/>
    <w:tmpl w:val="B128D7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4513A"/>
    <w:multiLevelType w:val="hybridMultilevel"/>
    <w:tmpl w:val="C2A49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EC584E"/>
    <w:multiLevelType w:val="hybridMultilevel"/>
    <w:tmpl w:val="3996C22C"/>
    <w:lvl w:ilvl="0" w:tplc="69486D3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E442D81"/>
    <w:multiLevelType w:val="hybridMultilevel"/>
    <w:tmpl w:val="CBA411A0"/>
    <w:lvl w:ilvl="0" w:tplc="6076E20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3" w15:restartNumberingAfterBreak="0">
    <w:nsid w:val="6A95350A"/>
    <w:multiLevelType w:val="hybridMultilevel"/>
    <w:tmpl w:val="0F883930"/>
    <w:lvl w:ilvl="0" w:tplc="AC409C2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DC90876"/>
    <w:multiLevelType w:val="hybridMultilevel"/>
    <w:tmpl w:val="B2DA0C4E"/>
    <w:lvl w:ilvl="0" w:tplc="6076E20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41021B"/>
    <w:multiLevelType w:val="hybridMultilevel"/>
    <w:tmpl w:val="E2766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A6334"/>
    <w:multiLevelType w:val="hybridMultilevel"/>
    <w:tmpl w:val="4642E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9E638B"/>
    <w:multiLevelType w:val="hybridMultilevel"/>
    <w:tmpl w:val="0B5E7CC4"/>
    <w:lvl w:ilvl="0" w:tplc="0BF2B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780367">
    <w:abstractNumId w:val="34"/>
  </w:num>
  <w:num w:numId="2" w16cid:durableId="1155222596">
    <w:abstractNumId w:val="0"/>
  </w:num>
  <w:num w:numId="3" w16cid:durableId="248079571">
    <w:abstractNumId w:val="16"/>
  </w:num>
  <w:num w:numId="4" w16cid:durableId="1363245650">
    <w:abstractNumId w:val="9"/>
  </w:num>
  <w:num w:numId="5" w16cid:durableId="566116306">
    <w:abstractNumId w:val="39"/>
  </w:num>
  <w:num w:numId="6" w16cid:durableId="1462308463">
    <w:abstractNumId w:val="17"/>
  </w:num>
  <w:num w:numId="7" w16cid:durableId="1849363358">
    <w:abstractNumId w:val="10"/>
  </w:num>
  <w:num w:numId="8" w16cid:durableId="1278873187">
    <w:abstractNumId w:val="7"/>
  </w:num>
  <w:num w:numId="9" w16cid:durableId="1216770098">
    <w:abstractNumId w:val="25"/>
  </w:num>
  <w:num w:numId="10" w16cid:durableId="1996567379">
    <w:abstractNumId w:val="23"/>
  </w:num>
  <w:num w:numId="11" w16cid:durableId="805704456">
    <w:abstractNumId w:val="18"/>
  </w:num>
  <w:num w:numId="12" w16cid:durableId="865410039">
    <w:abstractNumId w:val="14"/>
  </w:num>
  <w:num w:numId="13" w16cid:durableId="1157266414">
    <w:abstractNumId w:val="35"/>
  </w:num>
  <w:num w:numId="14" w16cid:durableId="506672435">
    <w:abstractNumId w:val="3"/>
  </w:num>
  <w:num w:numId="15" w16cid:durableId="87504506">
    <w:abstractNumId w:val="15"/>
  </w:num>
  <w:num w:numId="16" w16cid:durableId="824862466">
    <w:abstractNumId w:val="30"/>
  </w:num>
  <w:num w:numId="17" w16cid:durableId="189540140">
    <w:abstractNumId w:val="43"/>
  </w:num>
  <w:num w:numId="18" w16cid:durableId="1085030653">
    <w:abstractNumId w:val="11"/>
  </w:num>
  <w:num w:numId="19" w16cid:durableId="1969359085">
    <w:abstractNumId w:val="4"/>
  </w:num>
  <w:num w:numId="20" w16cid:durableId="342978804">
    <w:abstractNumId w:val="19"/>
  </w:num>
  <w:num w:numId="21" w16cid:durableId="353920245">
    <w:abstractNumId w:val="32"/>
  </w:num>
  <w:num w:numId="22" w16cid:durableId="1808551815">
    <w:abstractNumId w:val="42"/>
  </w:num>
  <w:num w:numId="23" w16cid:durableId="673412403">
    <w:abstractNumId w:val="24"/>
  </w:num>
  <w:num w:numId="24" w16cid:durableId="955603204">
    <w:abstractNumId w:val="37"/>
  </w:num>
  <w:num w:numId="25" w16cid:durableId="1640260481">
    <w:abstractNumId w:val="44"/>
  </w:num>
  <w:num w:numId="26" w16cid:durableId="75174478">
    <w:abstractNumId w:val="2"/>
  </w:num>
  <w:num w:numId="27" w16cid:durableId="744230013">
    <w:abstractNumId w:val="28"/>
  </w:num>
  <w:num w:numId="28" w16cid:durableId="131488006">
    <w:abstractNumId w:val="31"/>
  </w:num>
  <w:num w:numId="29" w16cid:durableId="664433725">
    <w:abstractNumId w:val="8"/>
  </w:num>
  <w:num w:numId="30" w16cid:durableId="267280601">
    <w:abstractNumId w:val="1"/>
  </w:num>
  <w:num w:numId="31" w16cid:durableId="2089500029">
    <w:abstractNumId w:val="40"/>
  </w:num>
  <w:num w:numId="32" w16cid:durableId="1352603742">
    <w:abstractNumId w:val="26"/>
  </w:num>
  <w:num w:numId="33" w16cid:durableId="1571454302">
    <w:abstractNumId w:val="41"/>
  </w:num>
  <w:num w:numId="34" w16cid:durableId="398291493">
    <w:abstractNumId w:val="33"/>
  </w:num>
  <w:num w:numId="35" w16cid:durableId="62334591">
    <w:abstractNumId w:val="29"/>
  </w:num>
  <w:num w:numId="36" w16cid:durableId="327247784">
    <w:abstractNumId w:val="36"/>
  </w:num>
  <w:num w:numId="37" w16cid:durableId="1473526436">
    <w:abstractNumId w:val="38"/>
  </w:num>
  <w:num w:numId="38" w16cid:durableId="2134208495">
    <w:abstractNumId w:val="6"/>
  </w:num>
  <w:num w:numId="39" w16cid:durableId="114179814">
    <w:abstractNumId w:val="13"/>
  </w:num>
  <w:num w:numId="40" w16cid:durableId="1043216707">
    <w:abstractNumId w:val="20"/>
  </w:num>
  <w:num w:numId="41" w16cid:durableId="2058115705">
    <w:abstractNumId w:val="5"/>
  </w:num>
  <w:num w:numId="42" w16cid:durableId="2069648803">
    <w:abstractNumId w:val="12"/>
  </w:num>
  <w:num w:numId="43" w16cid:durableId="1681077361">
    <w:abstractNumId w:val="22"/>
  </w:num>
  <w:num w:numId="44" w16cid:durableId="1531727271">
    <w:abstractNumId w:val="27"/>
  </w:num>
  <w:num w:numId="45" w16cid:durableId="10786759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U0NLYwNDYxMDEyNDBR0lEKTi0uzszPAykwqwUAV/aRyiwAAAA="/>
  </w:docVars>
  <w:rsids>
    <w:rsidRoot w:val="00C81D57"/>
    <w:rsid w:val="00001FE1"/>
    <w:rsid w:val="00006384"/>
    <w:rsid w:val="00006A11"/>
    <w:rsid w:val="000126FC"/>
    <w:rsid w:val="00017556"/>
    <w:rsid w:val="000216C1"/>
    <w:rsid w:val="00024CC3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4C08"/>
    <w:rsid w:val="00055AEB"/>
    <w:rsid w:val="00055BE3"/>
    <w:rsid w:val="00057048"/>
    <w:rsid w:val="000628E6"/>
    <w:rsid w:val="00070CEA"/>
    <w:rsid w:val="00072637"/>
    <w:rsid w:val="00073DE4"/>
    <w:rsid w:val="00073E3B"/>
    <w:rsid w:val="00084CF2"/>
    <w:rsid w:val="00095FBB"/>
    <w:rsid w:val="0009720E"/>
    <w:rsid w:val="000A4C02"/>
    <w:rsid w:val="000B0AC4"/>
    <w:rsid w:val="000B2657"/>
    <w:rsid w:val="000B2C52"/>
    <w:rsid w:val="000B5CF5"/>
    <w:rsid w:val="000C2457"/>
    <w:rsid w:val="000C5737"/>
    <w:rsid w:val="000C5DD6"/>
    <w:rsid w:val="000E4972"/>
    <w:rsid w:val="000E6269"/>
    <w:rsid w:val="000F04A7"/>
    <w:rsid w:val="00104CA0"/>
    <w:rsid w:val="001140D1"/>
    <w:rsid w:val="00116B1B"/>
    <w:rsid w:val="00116CFD"/>
    <w:rsid w:val="00125B83"/>
    <w:rsid w:val="00131150"/>
    <w:rsid w:val="00131523"/>
    <w:rsid w:val="00135E0B"/>
    <w:rsid w:val="00137A81"/>
    <w:rsid w:val="001452D6"/>
    <w:rsid w:val="00145825"/>
    <w:rsid w:val="001568BE"/>
    <w:rsid w:val="001576EC"/>
    <w:rsid w:val="001649A6"/>
    <w:rsid w:val="00167F31"/>
    <w:rsid w:val="00170DB6"/>
    <w:rsid w:val="001744E9"/>
    <w:rsid w:val="00191DD6"/>
    <w:rsid w:val="001932CE"/>
    <w:rsid w:val="00193CCA"/>
    <w:rsid w:val="001949D1"/>
    <w:rsid w:val="001964EE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59F2"/>
    <w:rsid w:val="00256D69"/>
    <w:rsid w:val="002644F8"/>
    <w:rsid w:val="00272E14"/>
    <w:rsid w:val="00274E2D"/>
    <w:rsid w:val="00275D45"/>
    <w:rsid w:val="002831DA"/>
    <w:rsid w:val="00286335"/>
    <w:rsid w:val="00287419"/>
    <w:rsid w:val="0029063D"/>
    <w:rsid w:val="002960F0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2F62A6"/>
    <w:rsid w:val="003050F3"/>
    <w:rsid w:val="003147A3"/>
    <w:rsid w:val="00322DB3"/>
    <w:rsid w:val="00323381"/>
    <w:rsid w:val="003245CA"/>
    <w:rsid w:val="00327BCE"/>
    <w:rsid w:val="00327C5B"/>
    <w:rsid w:val="00331D1C"/>
    <w:rsid w:val="00334DB2"/>
    <w:rsid w:val="0033622C"/>
    <w:rsid w:val="00341A37"/>
    <w:rsid w:val="00344816"/>
    <w:rsid w:val="003450B2"/>
    <w:rsid w:val="00353E55"/>
    <w:rsid w:val="00354046"/>
    <w:rsid w:val="003542B9"/>
    <w:rsid w:val="0036054E"/>
    <w:rsid w:val="00361E7A"/>
    <w:rsid w:val="00367502"/>
    <w:rsid w:val="00370AE3"/>
    <w:rsid w:val="003770D2"/>
    <w:rsid w:val="003860AA"/>
    <w:rsid w:val="0038731B"/>
    <w:rsid w:val="00387F7D"/>
    <w:rsid w:val="003918B5"/>
    <w:rsid w:val="00392651"/>
    <w:rsid w:val="003A6F97"/>
    <w:rsid w:val="003A7FA0"/>
    <w:rsid w:val="003B34C1"/>
    <w:rsid w:val="003B6829"/>
    <w:rsid w:val="003C038C"/>
    <w:rsid w:val="003C378C"/>
    <w:rsid w:val="003C627F"/>
    <w:rsid w:val="003D11EA"/>
    <w:rsid w:val="003D1548"/>
    <w:rsid w:val="003D3102"/>
    <w:rsid w:val="003D5D8A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018B"/>
    <w:rsid w:val="00442200"/>
    <w:rsid w:val="004422B3"/>
    <w:rsid w:val="004501A3"/>
    <w:rsid w:val="00455B8A"/>
    <w:rsid w:val="00465F44"/>
    <w:rsid w:val="00471960"/>
    <w:rsid w:val="00471B1E"/>
    <w:rsid w:val="00480F05"/>
    <w:rsid w:val="0048385D"/>
    <w:rsid w:val="004943E4"/>
    <w:rsid w:val="00495AFA"/>
    <w:rsid w:val="004A2A78"/>
    <w:rsid w:val="004B273C"/>
    <w:rsid w:val="004C096A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018D"/>
    <w:rsid w:val="00533064"/>
    <w:rsid w:val="00541391"/>
    <w:rsid w:val="0054275A"/>
    <w:rsid w:val="0054438F"/>
    <w:rsid w:val="00546A4B"/>
    <w:rsid w:val="0055224E"/>
    <w:rsid w:val="005637E2"/>
    <w:rsid w:val="00566E99"/>
    <w:rsid w:val="00576777"/>
    <w:rsid w:val="00577064"/>
    <w:rsid w:val="0058625E"/>
    <w:rsid w:val="005872A3"/>
    <w:rsid w:val="005878C7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4B27"/>
    <w:rsid w:val="005F537E"/>
    <w:rsid w:val="005F5A9B"/>
    <w:rsid w:val="005F6BF6"/>
    <w:rsid w:val="00601B39"/>
    <w:rsid w:val="0060283D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7512D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6E5F21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2AAB"/>
    <w:rsid w:val="00773DF5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11BC"/>
    <w:rsid w:val="007C51B7"/>
    <w:rsid w:val="007D3FEE"/>
    <w:rsid w:val="007D4F71"/>
    <w:rsid w:val="007D65B4"/>
    <w:rsid w:val="007F017F"/>
    <w:rsid w:val="007F1F46"/>
    <w:rsid w:val="007F4B78"/>
    <w:rsid w:val="008007F7"/>
    <w:rsid w:val="00801333"/>
    <w:rsid w:val="00802D13"/>
    <w:rsid w:val="00803821"/>
    <w:rsid w:val="00815CEA"/>
    <w:rsid w:val="0083113F"/>
    <w:rsid w:val="00831232"/>
    <w:rsid w:val="00834D02"/>
    <w:rsid w:val="0083539C"/>
    <w:rsid w:val="00835E8A"/>
    <w:rsid w:val="00840B6C"/>
    <w:rsid w:val="00845050"/>
    <w:rsid w:val="0085137D"/>
    <w:rsid w:val="00857CD1"/>
    <w:rsid w:val="0086401F"/>
    <w:rsid w:val="0086407E"/>
    <w:rsid w:val="00864858"/>
    <w:rsid w:val="0086507F"/>
    <w:rsid w:val="00867089"/>
    <w:rsid w:val="00873907"/>
    <w:rsid w:val="00875288"/>
    <w:rsid w:val="00880948"/>
    <w:rsid w:val="008810F8"/>
    <w:rsid w:val="00884B42"/>
    <w:rsid w:val="00886E5F"/>
    <w:rsid w:val="00892E0B"/>
    <w:rsid w:val="00893853"/>
    <w:rsid w:val="00895C2B"/>
    <w:rsid w:val="008B286B"/>
    <w:rsid w:val="008C1CCC"/>
    <w:rsid w:val="008C460E"/>
    <w:rsid w:val="008D440F"/>
    <w:rsid w:val="008D6EC5"/>
    <w:rsid w:val="008D77C9"/>
    <w:rsid w:val="008E1A87"/>
    <w:rsid w:val="008F1E09"/>
    <w:rsid w:val="00910EDC"/>
    <w:rsid w:val="00917227"/>
    <w:rsid w:val="00922F70"/>
    <w:rsid w:val="009264A3"/>
    <w:rsid w:val="00927661"/>
    <w:rsid w:val="00927CF8"/>
    <w:rsid w:val="00931E7F"/>
    <w:rsid w:val="0093339B"/>
    <w:rsid w:val="00935519"/>
    <w:rsid w:val="00935802"/>
    <w:rsid w:val="009472C1"/>
    <w:rsid w:val="00952500"/>
    <w:rsid w:val="00953F6B"/>
    <w:rsid w:val="009552FE"/>
    <w:rsid w:val="009600CF"/>
    <w:rsid w:val="00970920"/>
    <w:rsid w:val="00974EEE"/>
    <w:rsid w:val="00977D3A"/>
    <w:rsid w:val="0098295E"/>
    <w:rsid w:val="0098775C"/>
    <w:rsid w:val="00991041"/>
    <w:rsid w:val="00991910"/>
    <w:rsid w:val="00994B13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C677B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85C66"/>
    <w:rsid w:val="00A918A2"/>
    <w:rsid w:val="00AA35F2"/>
    <w:rsid w:val="00AA514F"/>
    <w:rsid w:val="00AB1520"/>
    <w:rsid w:val="00AB15EE"/>
    <w:rsid w:val="00AB35C8"/>
    <w:rsid w:val="00AC0158"/>
    <w:rsid w:val="00AC1C05"/>
    <w:rsid w:val="00AC6D5B"/>
    <w:rsid w:val="00AE0BA9"/>
    <w:rsid w:val="00AE1752"/>
    <w:rsid w:val="00AE43C7"/>
    <w:rsid w:val="00AF42BD"/>
    <w:rsid w:val="00B0274C"/>
    <w:rsid w:val="00B02961"/>
    <w:rsid w:val="00B1090A"/>
    <w:rsid w:val="00B177A0"/>
    <w:rsid w:val="00B314A6"/>
    <w:rsid w:val="00B338DA"/>
    <w:rsid w:val="00B4122C"/>
    <w:rsid w:val="00B41ADC"/>
    <w:rsid w:val="00B447E7"/>
    <w:rsid w:val="00B45DA8"/>
    <w:rsid w:val="00B46A70"/>
    <w:rsid w:val="00B4785A"/>
    <w:rsid w:val="00B54A87"/>
    <w:rsid w:val="00B553C7"/>
    <w:rsid w:val="00B66CD7"/>
    <w:rsid w:val="00B701D9"/>
    <w:rsid w:val="00B814D7"/>
    <w:rsid w:val="00B839FF"/>
    <w:rsid w:val="00B843A7"/>
    <w:rsid w:val="00B95435"/>
    <w:rsid w:val="00BA67CE"/>
    <w:rsid w:val="00BB26E4"/>
    <w:rsid w:val="00BB53A1"/>
    <w:rsid w:val="00BC6EA0"/>
    <w:rsid w:val="00BD5423"/>
    <w:rsid w:val="00BF0AE6"/>
    <w:rsid w:val="00BF1867"/>
    <w:rsid w:val="00BF1DAB"/>
    <w:rsid w:val="00BF305D"/>
    <w:rsid w:val="00C076F1"/>
    <w:rsid w:val="00C07B3E"/>
    <w:rsid w:val="00C102BA"/>
    <w:rsid w:val="00C11900"/>
    <w:rsid w:val="00C220D1"/>
    <w:rsid w:val="00C40FFE"/>
    <w:rsid w:val="00C4385C"/>
    <w:rsid w:val="00C459AB"/>
    <w:rsid w:val="00C47DF9"/>
    <w:rsid w:val="00C56921"/>
    <w:rsid w:val="00C56DBF"/>
    <w:rsid w:val="00C57BED"/>
    <w:rsid w:val="00C74CAB"/>
    <w:rsid w:val="00C76876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A2EE9"/>
    <w:rsid w:val="00CB17D0"/>
    <w:rsid w:val="00CC18CF"/>
    <w:rsid w:val="00CD1B6F"/>
    <w:rsid w:val="00CF39F6"/>
    <w:rsid w:val="00D0772B"/>
    <w:rsid w:val="00D20C05"/>
    <w:rsid w:val="00D239F0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4D2"/>
    <w:rsid w:val="00D64A96"/>
    <w:rsid w:val="00D707B3"/>
    <w:rsid w:val="00D77B28"/>
    <w:rsid w:val="00D87273"/>
    <w:rsid w:val="00D91691"/>
    <w:rsid w:val="00D96DBF"/>
    <w:rsid w:val="00DA177E"/>
    <w:rsid w:val="00DA1DFF"/>
    <w:rsid w:val="00DB0B36"/>
    <w:rsid w:val="00DB0E7F"/>
    <w:rsid w:val="00DB4029"/>
    <w:rsid w:val="00DB40F7"/>
    <w:rsid w:val="00DB4EA0"/>
    <w:rsid w:val="00DC7289"/>
    <w:rsid w:val="00DC767D"/>
    <w:rsid w:val="00DD0225"/>
    <w:rsid w:val="00DF6E13"/>
    <w:rsid w:val="00E0255D"/>
    <w:rsid w:val="00E03DFB"/>
    <w:rsid w:val="00E03F2F"/>
    <w:rsid w:val="00E05920"/>
    <w:rsid w:val="00E16DB4"/>
    <w:rsid w:val="00E20509"/>
    <w:rsid w:val="00E278BB"/>
    <w:rsid w:val="00E279FA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54732"/>
    <w:rsid w:val="00E6214F"/>
    <w:rsid w:val="00E650E1"/>
    <w:rsid w:val="00E70432"/>
    <w:rsid w:val="00E70CB2"/>
    <w:rsid w:val="00E84B8D"/>
    <w:rsid w:val="00E9525C"/>
    <w:rsid w:val="00E95C82"/>
    <w:rsid w:val="00E97844"/>
    <w:rsid w:val="00EA3596"/>
    <w:rsid w:val="00EB1C7D"/>
    <w:rsid w:val="00EB5DD1"/>
    <w:rsid w:val="00EC6808"/>
    <w:rsid w:val="00ED3929"/>
    <w:rsid w:val="00ED41E4"/>
    <w:rsid w:val="00ED6644"/>
    <w:rsid w:val="00EE36C5"/>
    <w:rsid w:val="00EF1163"/>
    <w:rsid w:val="00EF1A98"/>
    <w:rsid w:val="00F01BD0"/>
    <w:rsid w:val="00F045E8"/>
    <w:rsid w:val="00F10A15"/>
    <w:rsid w:val="00F12133"/>
    <w:rsid w:val="00F15138"/>
    <w:rsid w:val="00F15C13"/>
    <w:rsid w:val="00F21080"/>
    <w:rsid w:val="00F25459"/>
    <w:rsid w:val="00F25A99"/>
    <w:rsid w:val="00F25E4B"/>
    <w:rsid w:val="00F267CE"/>
    <w:rsid w:val="00F30B65"/>
    <w:rsid w:val="00F31715"/>
    <w:rsid w:val="00F31F38"/>
    <w:rsid w:val="00F33FB5"/>
    <w:rsid w:val="00F426F3"/>
    <w:rsid w:val="00F42FC1"/>
    <w:rsid w:val="00F45124"/>
    <w:rsid w:val="00F453B5"/>
    <w:rsid w:val="00F564A9"/>
    <w:rsid w:val="00F64590"/>
    <w:rsid w:val="00F701F3"/>
    <w:rsid w:val="00F7033E"/>
    <w:rsid w:val="00F710EB"/>
    <w:rsid w:val="00F71C06"/>
    <w:rsid w:val="00F73144"/>
    <w:rsid w:val="00F73F45"/>
    <w:rsid w:val="00F80A2A"/>
    <w:rsid w:val="00F82A45"/>
    <w:rsid w:val="00F83DAC"/>
    <w:rsid w:val="00F8535F"/>
    <w:rsid w:val="00F85CC7"/>
    <w:rsid w:val="00F90CB2"/>
    <w:rsid w:val="00F941EB"/>
    <w:rsid w:val="00FA5BD7"/>
    <w:rsid w:val="00FB2AB3"/>
    <w:rsid w:val="00FB319C"/>
    <w:rsid w:val="00FB360B"/>
    <w:rsid w:val="00FB3EB2"/>
    <w:rsid w:val="00FB5591"/>
    <w:rsid w:val="00FB6656"/>
    <w:rsid w:val="00FB732C"/>
    <w:rsid w:val="00FD2516"/>
    <w:rsid w:val="00FD26C7"/>
    <w:rsid w:val="00FD2998"/>
    <w:rsid w:val="00FE2FA1"/>
    <w:rsid w:val="00FE4A55"/>
    <w:rsid w:val="00FE53B6"/>
    <w:rsid w:val="00FE5CE2"/>
    <w:rsid w:val="00FE5E9D"/>
    <w:rsid w:val="00FF160E"/>
    <w:rsid w:val="00FF1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fontstyle01">
    <w:name w:val="fontstyle01"/>
    <w:basedOn w:val="DefaultParagraphFont"/>
    <w:rsid w:val="008D6EC5"/>
    <w:rPr>
      <w:rFonts w:ascii="Palatino-Roman" w:hAnsi="Palatino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8D6EC5"/>
    <w:rPr>
      <w:rFonts w:ascii="Palatino-ItalicOsF" w:hAnsi="Palatino-ItalicOsF" w:hint="default"/>
      <w:b w:val="0"/>
      <w:bCs w:val="0"/>
      <w:i/>
      <w:i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5F4B27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2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4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cas.org.uk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2936</Words>
  <Characters>16740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19637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Delia Virga</cp:lastModifiedBy>
  <cp:revision>2</cp:revision>
  <cp:lastPrinted>2022-10-17T09:29:00Z</cp:lastPrinted>
  <dcterms:created xsi:type="dcterms:W3CDTF">2023-09-11T07:16:00Z</dcterms:created>
  <dcterms:modified xsi:type="dcterms:W3CDTF">2023-09-11T07:16:00Z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4f1ff5c070a1efbbd1f87ea59a99cf5430da9106d668a61a8fa7868577da449c</vt:lpwstr>
  </property>
</Properties>
</file>