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1C41A2BD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Facultatea de 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036140C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6ED3F62D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4D183F00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4E1123FB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Psihologia muncii, organizațională și a transporturilor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30B4FF96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Diagnoză și intervenție organizațională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589EAFEE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Prof. univ. dr. Delia Vîrgă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594961E1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Prof. univ. dr. Delia Vîrgă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7C41305D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  <w:r w:rsidR="00770036"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1E16314C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46DE283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229A6B27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Obl.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0"/>
        <w:gridCol w:w="514"/>
        <w:gridCol w:w="296"/>
        <w:gridCol w:w="1658"/>
        <w:gridCol w:w="440"/>
        <w:gridCol w:w="230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73EBD508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3D106CBB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22BF67B" w:rsidR="00E0255D" w:rsidRPr="00C4385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799DFD6E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081C3CF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77D9F0EB" w:rsidR="00E0255D" w:rsidRPr="00F4524C" w:rsidRDefault="0077003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F4524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F4524C">
              <w:rPr>
                <w:rFonts w:asciiTheme="minorHAnsi" w:hAnsiTheme="minorHAnsi" w:cstheme="minorHAnsi"/>
                <w:b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44546359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38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9FF038B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37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38847364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27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7CDE9DAB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5C937E2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03C5B257" w:rsidR="00E0255D" w:rsidRPr="00C4385C" w:rsidRDefault="00F4524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122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660A7921" w:rsidR="00E0255D" w:rsidRPr="00C4385C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798F4EB8" w:rsidR="00E0255D" w:rsidRPr="00240491" w:rsidRDefault="0024049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240491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6</w:t>
            </w:r>
            <w:r w:rsidR="00F4524C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 </w:t>
            </w:r>
            <w:r w:rsidRPr="00240491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credite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5418429" w:rsidR="00E0255D" w:rsidRPr="00C4385C" w:rsidRDefault="00F4524C" w:rsidP="0024049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O</w:t>
            </w:r>
            <w:r w:rsidRPr="00F4524C">
              <w:rPr>
                <w:rFonts w:asciiTheme="minorHAnsi" w:hAnsiTheme="minorHAnsi" w:cstheme="minorHAnsi"/>
                <w:lang w:val="ro-RO"/>
              </w:rPr>
              <w:t>rice curs introductiv de metodologia cercetării sau de psihodiagnostic</w:t>
            </w:r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0D8BF444" w:rsidR="00E0255D" w:rsidRPr="00C4385C" w:rsidRDefault="00240491" w:rsidP="0024049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68ADC876" w:rsidR="00E0255D" w:rsidRPr="00C4385C" w:rsidRDefault="00F4524C" w:rsidP="00610AE7">
            <w:pPr>
              <w:pStyle w:val="NoSpacing"/>
              <w:spacing w:line="276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cazul.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4B8FB260" w:rsidR="00802D13" w:rsidRPr="00C4385C" w:rsidRDefault="00F4524C" w:rsidP="0024049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</w:t>
            </w:r>
            <w:r w:rsidRPr="00F4524C">
              <w:rPr>
                <w:rFonts w:asciiTheme="minorHAnsi" w:hAnsiTheme="minorHAnsi" w:cstheme="minorHAnsi"/>
                <w:lang w:val="ro-RO"/>
              </w:rPr>
              <w:t>u este cazul; totuși pentru participarea la cel puțin patru din cele șapte seminarii se acordă un bonus în evaluarea finală</w:t>
            </w:r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F4524C" w:rsidRPr="00C4385C" w14:paraId="1D8B991E" w14:textId="77777777" w:rsidTr="00802D13">
        <w:tc>
          <w:tcPr>
            <w:tcW w:w="4565" w:type="dxa"/>
          </w:tcPr>
          <w:p w14:paraId="491B0309" w14:textId="049FE2FF" w:rsidR="00F4524C" w:rsidRPr="00C4385C" w:rsidRDefault="00F4524C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5.3. Condiții tehnice de acces și participare </w:t>
            </w:r>
          </w:p>
        </w:tc>
        <w:tc>
          <w:tcPr>
            <w:tcW w:w="4824" w:type="dxa"/>
          </w:tcPr>
          <w:p w14:paraId="5910F512" w14:textId="362D0CA7" w:rsidR="007961CC" w:rsidRPr="00C806FC" w:rsidRDefault="00F4524C" w:rsidP="007961CC">
            <w:pPr>
              <w:shd w:val="clear" w:color="auto" w:fill="FFFFFF"/>
              <w:rPr>
                <w:rFonts w:asciiTheme="minorHAnsi" w:hAnsiTheme="minorHAnsi" w:cstheme="minorHAnsi"/>
                <w:color w:val="3C4043"/>
                <w:spacing w:val="3"/>
                <w:sz w:val="22"/>
                <w:szCs w:val="22"/>
                <w:lang w:val="pt-BR" w:eastAsia="en-US"/>
              </w:rPr>
            </w:pPr>
            <w:r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Toate materialele pentru cursuri si seminare vor fi încărcate pe </w:t>
            </w:r>
            <w:proofErr w:type="spellStart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. Studenții trebuie să se înregistreze pe Google </w:t>
            </w:r>
            <w:proofErr w:type="spellStart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, utilizând codul pentru curs, cu adresa de email instituțională. Codul pentru cursul și seminarul de Diagnoza si </w:t>
            </w:r>
            <w:proofErr w:type="spellStart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interventie</w:t>
            </w:r>
            <w:proofErr w:type="spellEnd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organizationala</w:t>
            </w:r>
            <w:proofErr w:type="spellEnd"/>
            <w:r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 (202</w:t>
            </w:r>
            <w:r w:rsidR="00C806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5260C" w:rsidRPr="007961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C806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961C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27663"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 este:</w:t>
            </w:r>
            <w:r w:rsidR="007961CC" w:rsidRPr="007961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06FC" w:rsidRPr="00C806FC">
              <w:rPr>
                <w:b/>
                <w:bCs/>
                <w:color w:val="C26401"/>
                <w:sz w:val="22"/>
                <w:szCs w:val="22"/>
                <w:shd w:val="clear" w:color="auto" w:fill="FFFFFF"/>
              </w:rPr>
              <w:t>xzq7dcr</w:t>
            </w:r>
          </w:p>
          <w:p w14:paraId="7A969DC9" w14:textId="310DD980" w:rsidR="007961CC" w:rsidRPr="00C806FC" w:rsidRDefault="007961CC" w:rsidP="007961CC">
            <w:pPr>
              <w:shd w:val="clear" w:color="auto" w:fill="FFFFFF"/>
              <w:rPr>
                <w:rFonts w:ascii="Arial" w:hAnsi="Arial" w:cs="Arial"/>
                <w:color w:val="3C4043"/>
                <w:spacing w:val="3"/>
                <w:sz w:val="20"/>
                <w:szCs w:val="20"/>
                <w:lang w:val="pt-BR" w:eastAsia="en-US"/>
              </w:rPr>
            </w:pPr>
          </w:p>
          <w:p w14:paraId="1A8C7BB6" w14:textId="174FF2B0" w:rsidR="00F4524C" w:rsidRPr="00C806FC" w:rsidRDefault="00F4524C" w:rsidP="00F4524C">
            <w:pPr>
              <w:pStyle w:val="NoSpacing"/>
              <w:rPr>
                <w:rFonts w:asciiTheme="minorHAnsi" w:hAnsiTheme="minorHAnsi" w:cstheme="minorHAnsi"/>
                <w:lang w:val="pt-BR"/>
              </w:rPr>
            </w:pPr>
          </w:p>
          <w:p w14:paraId="3B4767BB" w14:textId="5BC74B4F" w:rsidR="00327663" w:rsidRPr="00C806FC" w:rsidRDefault="00327663" w:rsidP="00F4524C">
            <w:pPr>
              <w:pStyle w:val="NoSpacing"/>
              <w:rPr>
                <w:rFonts w:asciiTheme="minorHAnsi" w:hAnsiTheme="minorHAnsi" w:cstheme="minorHAnsi"/>
                <w:b/>
                <w:lang w:val="pt-BR"/>
              </w:rPr>
            </w:pPr>
          </w:p>
          <w:p w14:paraId="1A72C60B" w14:textId="77777777" w:rsidR="00F4524C" w:rsidRPr="00C806FC" w:rsidRDefault="00F4524C" w:rsidP="00F4524C">
            <w:pPr>
              <w:pStyle w:val="NoSpacing"/>
              <w:rPr>
                <w:rFonts w:asciiTheme="minorHAnsi" w:hAnsiTheme="minorHAnsi" w:cstheme="minorHAnsi"/>
                <w:lang w:val="pt-BR"/>
              </w:rPr>
            </w:pPr>
          </w:p>
          <w:p w14:paraId="489FFE44" w14:textId="77777777" w:rsidR="00327663" w:rsidRPr="00C806FC" w:rsidRDefault="00327663" w:rsidP="00F4524C">
            <w:pPr>
              <w:pStyle w:val="NoSpacing"/>
              <w:rPr>
                <w:rFonts w:asciiTheme="minorHAnsi" w:hAnsiTheme="minorHAnsi" w:cstheme="minorHAnsi"/>
                <w:lang w:val="pt-BR"/>
              </w:rPr>
            </w:pPr>
          </w:p>
          <w:p w14:paraId="2C503EF2" w14:textId="77777777" w:rsidR="00F4524C" w:rsidRDefault="00F4524C" w:rsidP="0024049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3BBF42B7" w14:textId="5E929315" w:rsidR="00240491" w:rsidRDefault="00240491" w:rsidP="00240491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404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Absolvenții </w:t>
            </w:r>
            <w:r w:rsidR="008368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</w:t>
            </w:r>
            <w:r w:rsidRPr="002404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trebui să demonstreze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suficiente cunoștințe pentru a</w:t>
            </w:r>
            <w:r w:rsidRPr="002404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: </w:t>
            </w:r>
          </w:p>
          <w:p w14:paraId="785FFB06" w14:textId="689683DF" w:rsidR="00202D8A" w:rsidRPr="00202D8A" w:rsidRDefault="00202D8A" w:rsidP="00202D8A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înțelege și descrie principalele concepte, paradigme și metodologii utilizate în cercetarea din domeniului psihologiei muncii; </w:t>
            </w:r>
          </w:p>
          <w:p w14:paraId="152E055A" w14:textId="2D62863F" w:rsidR="00202D8A" w:rsidRPr="00202D8A" w:rsidRDefault="00202D8A" w:rsidP="00202D8A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elabor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și interpret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evalu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are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psihologic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ă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domeniul psihologiei muncii</w:t>
            </w:r>
            <w:r w:rsid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și 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organizaționale</w:t>
            </w:r>
            <w:r w:rsid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folosind terminologia, metodele și instrumentele psihologice specifice; </w:t>
            </w:r>
          </w:p>
          <w:p w14:paraId="27167982" w14:textId="77777777" w:rsidR="00202D8A" w:rsidRDefault="00202D8A" w:rsidP="00202D8A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adapta a terminologi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și a strategiil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de comunicare în funcție de categoriile socio-profesionale vizate.</w:t>
            </w:r>
          </w:p>
          <w:p w14:paraId="25C90E61" w14:textId="77777777" w:rsidR="008D0EB1" w:rsidRDefault="008D0EB1" w:rsidP="008D0EB1">
            <w:pPr>
              <w:pStyle w:val="ListParagraph"/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Mai specific: </w:t>
            </w:r>
          </w:p>
          <w:p w14:paraId="2AE4C68F" w14:textId="7DBF59B5" w:rsidR="008D0EB1" w:rsidRPr="008D0EB1" w:rsidRDefault="008D0EB1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Să identifice modelele de diagnoza organizationala, cu privire la calitatea proprietăților lor și implicațiile acestora pentru practica psihologică;</w:t>
            </w:r>
          </w:p>
          <w:p w14:paraId="25A22921" w14:textId="56B70C09" w:rsidR="008D0EB1" w:rsidRPr="008D0EB1" w:rsidRDefault="008D0EB1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Sa identifice modalitati de identificarea nevoilor organizatiei client </w:t>
            </w:r>
          </w:p>
          <w:p w14:paraId="489E27CA" w14:textId="05EC9010" w:rsidR="008D0EB1" w:rsidRPr="00F4524C" w:rsidRDefault="008D0EB1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Să identifice metodele cantitative si calitative de realizare a diagnozei organizationale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6696621A" w14:textId="0102D9C7" w:rsidR="00240491" w:rsidRDefault="00240491" w:rsidP="00240491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404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Absolvenții </w:t>
            </w:r>
            <w:r w:rsidR="008368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</w:t>
            </w:r>
            <w:r w:rsidRPr="002404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trebui să demonstreze capacitatea de: </w:t>
            </w:r>
          </w:p>
          <w:p w14:paraId="30E64559" w14:textId="77777777" w:rsidR="008D0EB1" w:rsidRDefault="00202D8A" w:rsidP="00202D8A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2D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 aplica cunoștințele dobândite la situații cu un grad mediu de complexitate și de a formula concluzii bine argumentate, prin prezentarea și interpretarea unei evaluări psihologice (chiar cu scop diagnostic), ca modalitate de ilustrare a regulilor, metodelor, tehnicilor și procedeelor de analiză și cercetare deja cunoscute și asimilate (la nivel de individ, grup și organizații);</w:t>
            </w:r>
            <w:r w:rsidR="00166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5695299" w14:textId="61759C01" w:rsidR="00202D8A" w:rsidRPr="008D0EB1" w:rsidRDefault="008D0EB1" w:rsidP="008D0EB1">
            <w:pPr>
              <w:spacing w:line="276" w:lineRule="auto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Mai specific</w:t>
            </w:r>
            <w:r w:rsidR="00166724" w:rsidRPr="008D0E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698A6E01" w14:textId="5F751C8A" w:rsidR="00F4524C" w:rsidRPr="00F4524C" w:rsidRDefault="00F4524C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452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Să construiasca/adapteze un chestionar de diagnoza organizationala; </w:t>
            </w:r>
          </w:p>
          <w:p w14:paraId="7EAAFCF1" w14:textId="5683546D" w:rsidR="00F4524C" w:rsidRPr="00F4524C" w:rsidRDefault="00F4524C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452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Să redacteze un raport de diagnoza organizationala diferentiat in functie de obiectivele de diagnoza</w:t>
            </w:r>
          </w:p>
          <w:p w14:paraId="00B6AEED" w14:textId="01093704" w:rsidR="00F4524C" w:rsidRPr="00F4524C" w:rsidRDefault="00F4524C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452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 propuna un plan de actiune, urmat de o interventie organizationala</w:t>
            </w:r>
          </w:p>
          <w:p w14:paraId="26A3295C" w14:textId="3740C717" w:rsidR="00836886" w:rsidRPr="00F4524C" w:rsidRDefault="00F4524C" w:rsidP="008D0EB1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452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Să identifice incidente critice specifice situatiei de diagnoza organizationala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5F848A2" w14:textId="7A0A012F" w:rsidR="00836886" w:rsidRPr="00836886" w:rsidRDefault="00836886" w:rsidP="00836886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368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Absolvenții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</w:t>
            </w:r>
            <w:r w:rsidRPr="008368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trebui să demonstreze că: </w:t>
            </w:r>
          </w:p>
          <w:p w14:paraId="71407B7B" w14:textId="77777777" w:rsidR="00DE1594" w:rsidRDefault="00836886" w:rsidP="00DE1594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15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și-au însușit capacitatea de a lucra independent (eventual cu o minimă îndrumare) pentru obținerea informațiilor (bibliografice, studii de caz, teorii, ghiduri de bune practici etc.) necesare îndeplinirii unei sarcini specifice asociate domeniului psihologiei organizaționale.</w:t>
            </w:r>
          </w:p>
          <w:p w14:paraId="400F6870" w14:textId="51CE0948" w:rsidR="00DE1594" w:rsidRPr="00DE1594" w:rsidRDefault="00DE1594" w:rsidP="00DE1594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1594">
              <w:rPr>
                <w:rFonts w:asciiTheme="minorHAnsi" w:hAnsiTheme="minorHAnsi" w:cstheme="minorHAnsi"/>
                <w:sz w:val="20"/>
                <w:szCs w:val="20"/>
              </w:rPr>
              <w:t xml:space="preserve">au capacitatea de a-și identifica propriile surse și resurse de învățare; </w:t>
            </w:r>
          </w:p>
          <w:p w14:paraId="4431AF7B" w14:textId="77777777" w:rsidR="00DE1594" w:rsidRDefault="00DE1594" w:rsidP="00DE1594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594">
              <w:rPr>
                <w:rFonts w:asciiTheme="minorHAnsi" w:hAnsiTheme="minorHAnsi" w:cstheme="minorHAnsi"/>
                <w:sz w:val="20"/>
                <w:szCs w:val="20"/>
              </w:rPr>
              <w:t xml:space="preserve">au capacitatea de a reflecta asupra progreselor realizate în procesul de învățare; </w:t>
            </w:r>
          </w:p>
          <w:p w14:paraId="78946F0F" w14:textId="25F5079C" w:rsidR="00DE1594" w:rsidRPr="00DE1594" w:rsidRDefault="00DE1594" w:rsidP="00DE1594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594">
              <w:rPr>
                <w:rFonts w:asciiTheme="minorHAnsi" w:hAnsiTheme="minorHAnsi" w:cstheme="minorHAnsi"/>
                <w:sz w:val="20"/>
                <w:szCs w:val="20"/>
              </w:rPr>
              <w:t>au deprins strategiile de muncă riguroasă, eficientă și responsabilă, de punctualitate și răspundere personală față de rezultat, pe baza principiilor, normelor și valorilor codului de etică profesională.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1440"/>
        <w:gridCol w:w="5605"/>
      </w:tblGrid>
      <w:tr w:rsidR="004E55DC" w:rsidRPr="00C4385C" w14:paraId="65C2680D" w14:textId="77777777" w:rsidTr="00E1373D">
        <w:tc>
          <w:tcPr>
            <w:tcW w:w="1231" w:type="pct"/>
            <w:shd w:val="clear" w:color="auto" w:fill="auto"/>
          </w:tcPr>
          <w:p w14:paraId="460E7C72" w14:textId="0FF1C0D7" w:rsidR="00802D13" w:rsidRPr="002644F8" w:rsidRDefault="003174AB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770" w:type="pct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2999" w:type="pct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F4524C" w:rsidRPr="00C4385C" w14:paraId="668108F7" w14:textId="77777777" w:rsidTr="00E1373D">
        <w:tc>
          <w:tcPr>
            <w:tcW w:w="1231" w:type="pct"/>
            <w:shd w:val="clear" w:color="auto" w:fill="auto"/>
          </w:tcPr>
          <w:p w14:paraId="7ABBE449" w14:textId="3C5138C4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C1.Curs introductiv (2 ore)</w:t>
            </w:r>
          </w:p>
        </w:tc>
        <w:tc>
          <w:tcPr>
            <w:tcW w:w="770" w:type="pct"/>
            <w:shd w:val="clear" w:color="auto" w:fill="auto"/>
          </w:tcPr>
          <w:p w14:paraId="1531B178" w14:textId="23E2074D" w:rsidR="00F4524C" w:rsidRPr="00E1373D" w:rsidRDefault="00F4524C" w:rsidP="00E1373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</w:t>
            </w:r>
          </w:p>
        </w:tc>
        <w:tc>
          <w:tcPr>
            <w:tcW w:w="2999" w:type="pct"/>
            <w:shd w:val="clear" w:color="auto" w:fill="auto"/>
          </w:tcPr>
          <w:p w14:paraId="313ED26A" w14:textId="77777777" w:rsidR="00F4524C" w:rsidRPr="00E1373D" w:rsidRDefault="00F4524C" w:rsidP="00E1373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Sunt prezentate sintetic obiectivele și conținuturile cursului. Sunt alese probele de seminar. </w:t>
            </w:r>
          </w:p>
          <w:p w14:paraId="521B0440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2E720044" w14:textId="03D43A76" w:rsidR="00F4524C" w:rsidRPr="00E1373D" w:rsidRDefault="00F4524C" w:rsidP="00E1373D">
            <w:pPr>
              <w:spacing w:after="47" w:line="277" w:lineRule="auto"/>
              <w:ind w:left="686" w:right="96" w:hanging="68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524C" w:rsidRPr="00C4385C" w14:paraId="67C8F17B" w14:textId="77777777" w:rsidTr="00E1373D">
        <w:tc>
          <w:tcPr>
            <w:tcW w:w="1231" w:type="pct"/>
            <w:shd w:val="clear" w:color="auto" w:fill="auto"/>
          </w:tcPr>
          <w:p w14:paraId="1FE7055E" w14:textId="7B56E217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C2. Diagnoza organizationala: elemente fundamentale si aplicatii (2 ore)</w:t>
            </w:r>
          </w:p>
        </w:tc>
        <w:tc>
          <w:tcPr>
            <w:tcW w:w="770" w:type="pct"/>
            <w:shd w:val="clear" w:color="auto" w:fill="auto"/>
          </w:tcPr>
          <w:p w14:paraId="7CC5BAD7" w14:textId="1DFD9DE6" w:rsidR="00F4524C" w:rsidRPr="00E1373D" w:rsidRDefault="00F4524C" w:rsidP="00E1373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6AE342D0" w14:textId="77777777" w:rsidR="00F4524C" w:rsidRPr="00E1373D" w:rsidRDefault="00F4524C" w:rsidP="00E1373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Tipuri de diagnoza organizationala, cercetarea-actiune, cerintele diagnozii organizationale</w:t>
            </w:r>
          </w:p>
          <w:p w14:paraId="2B87173B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489DC630" w14:textId="7892FB09" w:rsidR="00F4524C" w:rsidRPr="00E1373D" w:rsidRDefault="00F4524C" w:rsidP="00E1373D">
            <w:pPr>
              <w:spacing w:after="5" w:line="234" w:lineRule="auto"/>
              <w:ind w:left="720" w:right="42"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Harrison, M. I. (2004).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Diagnosing organizations: Methods, models, and processes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 (Vol. 8). Sage Publications</w:t>
            </w:r>
          </w:p>
        </w:tc>
      </w:tr>
      <w:tr w:rsidR="00F4524C" w:rsidRPr="00C4385C" w14:paraId="68AED4AF" w14:textId="77777777" w:rsidTr="00E1373D">
        <w:tc>
          <w:tcPr>
            <w:tcW w:w="1231" w:type="pct"/>
            <w:shd w:val="clear" w:color="auto" w:fill="auto"/>
          </w:tcPr>
          <w:p w14:paraId="54F47268" w14:textId="661C5044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C3. Rolul consultantului in diagnoza organizationala (2 ore). </w:t>
            </w:r>
          </w:p>
        </w:tc>
        <w:tc>
          <w:tcPr>
            <w:tcW w:w="770" w:type="pct"/>
            <w:shd w:val="clear" w:color="auto" w:fill="auto"/>
          </w:tcPr>
          <w:p w14:paraId="2C3FEBD2" w14:textId="77777777" w:rsidR="00F4524C" w:rsidRPr="00E1373D" w:rsidRDefault="00F4524C" w:rsidP="00E1373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Prelegere, conversație,</w:t>
            </w:r>
          </w:p>
          <w:p w14:paraId="40D5DD11" w14:textId="2B4699AD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demonstratie</w:t>
            </w:r>
          </w:p>
        </w:tc>
        <w:tc>
          <w:tcPr>
            <w:tcW w:w="2999" w:type="pct"/>
            <w:shd w:val="clear" w:color="auto" w:fill="auto"/>
          </w:tcPr>
          <w:p w14:paraId="4E825923" w14:textId="77777777" w:rsidR="00F4524C" w:rsidRPr="00C806FC" w:rsidRDefault="00F4524C" w:rsidP="00E1373D">
            <w:pPr>
              <w:rPr>
                <w:rFonts w:asciiTheme="minorHAnsi" w:hAnsiTheme="minorHAnsi" w:cstheme="minorHAnsi"/>
                <w:sz w:val="20"/>
                <w:szCs w:val="20"/>
                <w:lang w:val="pt-BR" w:eastAsia="en-GB"/>
              </w:rPr>
            </w:pPr>
            <w:r w:rsidRPr="00C806FC">
              <w:rPr>
                <w:rFonts w:asciiTheme="minorHAnsi" w:hAnsiTheme="minorHAnsi" w:cstheme="minorHAnsi"/>
                <w:sz w:val="20"/>
                <w:szCs w:val="20"/>
                <w:lang w:val="pt-BR" w:eastAsia="en-GB"/>
              </w:rPr>
              <w:t>Cine face diagnoza, etapele diagnozei oganziationale</w:t>
            </w:r>
          </w:p>
          <w:p w14:paraId="79A28501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6AD569C7" w14:textId="77777777" w:rsidR="00F4524C" w:rsidRPr="00E1373D" w:rsidRDefault="00F4524C" w:rsidP="00E1373D">
            <w:pPr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Janićijević, N. (2010). Business processes in organizational diagnosis.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Management: Journal of Contemporary Management Issues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15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 85-106.</w:t>
            </w:r>
          </w:p>
          <w:p w14:paraId="1847DF39" w14:textId="77777777" w:rsidR="00F4524C" w:rsidRPr="00E1373D" w:rsidRDefault="00F4524C" w:rsidP="00E1373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Pitariu, H.D., Budeanu, A. (2007).</w:t>
            </w:r>
            <w:r w:rsidRPr="00E1373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Cultura organizationala. Modele si metode de interventie. </w:t>
            </w: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Editura ASCR, Cluj-Napoca</w:t>
            </w:r>
          </w:p>
          <w:p w14:paraId="678EB47C" w14:textId="4076B832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4524C" w:rsidRPr="00C4385C" w14:paraId="2B2FF6F7" w14:textId="77777777" w:rsidTr="00E1373D">
        <w:tc>
          <w:tcPr>
            <w:tcW w:w="1231" w:type="pct"/>
            <w:shd w:val="clear" w:color="auto" w:fill="auto"/>
          </w:tcPr>
          <w:p w14:paraId="05BC6357" w14:textId="3721BDA5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C4. Modele de diagnoza organizationala –partea 1-a (2 ore). </w:t>
            </w:r>
          </w:p>
        </w:tc>
        <w:tc>
          <w:tcPr>
            <w:tcW w:w="770" w:type="pct"/>
            <w:shd w:val="clear" w:color="auto" w:fill="auto"/>
          </w:tcPr>
          <w:p w14:paraId="4F9D7155" w14:textId="77777777" w:rsidR="00F4524C" w:rsidRPr="00E1373D" w:rsidRDefault="00F4524C" w:rsidP="00E1373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Prelegere, conversație,</w:t>
            </w:r>
          </w:p>
          <w:p w14:paraId="273BC41E" w14:textId="66119C26" w:rsidR="00F4524C" w:rsidRPr="00E1373D" w:rsidRDefault="00F4524C" w:rsidP="00E1373D">
            <w:pPr>
              <w:spacing w:after="95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Demonstratie</w:t>
            </w:r>
          </w:p>
        </w:tc>
        <w:tc>
          <w:tcPr>
            <w:tcW w:w="2999" w:type="pct"/>
            <w:shd w:val="clear" w:color="auto" w:fill="auto"/>
          </w:tcPr>
          <w:p w14:paraId="4CA04894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Modele de diagnoza organizationala: metoda campului de forte, modelul Leavitt, modelul sistemului deschis,  modelul celor 6 cutii</w:t>
            </w:r>
          </w:p>
          <w:p w14:paraId="3C0D2963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5FF989B6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McFillen, J. M., O'Neil, D. A., Balzer, W. K., &amp; Varney, G. H. (2013). Organizational diagnosis: An evidence-based approach.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Change Management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13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 223-246.</w:t>
            </w:r>
          </w:p>
          <w:p w14:paraId="3ADF7FA0" w14:textId="032507A7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4524C" w:rsidRPr="00C4385C" w14:paraId="08A97EC5" w14:textId="77777777" w:rsidTr="00E1373D">
        <w:tc>
          <w:tcPr>
            <w:tcW w:w="1231" w:type="pct"/>
            <w:shd w:val="clear" w:color="auto" w:fill="auto"/>
          </w:tcPr>
          <w:p w14:paraId="1A7E5637" w14:textId="3FFDE696" w:rsidR="00F4524C" w:rsidRPr="00E1373D" w:rsidRDefault="00F4524C" w:rsidP="00E1373D">
            <w:pPr>
              <w:tabs>
                <w:tab w:val="center" w:pos="235"/>
                <w:tab w:val="right" w:pos="2274"/>
              </w:tabs>
              <w:ind w:right="-17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C5. Modele de diagnoza organizationala - partea a 2-a (2 ore).</w:t>
            </w:r>
          </w:p>
        </w:tc>
        <w:tc>
          <w:tcPr>
            <w:tcW w:w="770" w:type="pct"/>
            <w:shd w:val="clear" w:color="auto" w:fill="auto"/>
          </w:tcPr>
          <w:p w14:paraId="61B94144" w14:textId="77777777" w:rsidR="00F4524C" w:rsidRPr="00E1373D" w:rsidRDefault="00F4524C" w:rsidP="00E1373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Prelegere, conversație,</w:t>
            </w:r>
          </w:p>
          <w:p w14:paraId="7BBE323A" w14:textId="1B09C9DD" w:rsidR="00F4524C" w:rsidRPr="00E1373D" w:rsidRDefault="00F4524C" w:rsidP="00E1373D">
            <w:pPr>
              <w:spacing w:after="95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demonstratie</w:t>
            </w:r>
          </w:p>
        </w:tc>
        <w:tc>
          <w:tcPr>
            <w:tcW w:w="2999" w:type="pct"/>
            <w:shd w:val="clear" w:color="auto" w:fill="auto"/>
          </w:tcPr>
          <w:p w14:paraId="6191D5EF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Modele de diagnoza organizationala: modelul congruentei, modelul celor 7S, modelul lui Tichy, diagnoza individuala si a comportamentului de grup, modelul Burke-Litwin</w:t>
            </w:r>
          </w:p>
          <w:p w14:paraId="32C929EF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color w:val="800000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lastRenderedPageBreak/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</w:p>
          <w:p w14:paraId="6A5A962E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3040532E" w14:textId="77777777" w:rsidR="00F4524C" w:rsidRPr="00E1373D" w:rsidRDefault="00F4524C" w:rsidP="00E1373D">
            <w:pPr>
              <w:ind w:left="426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Harter, J. K., Schmidt, F. L., &amp; Hayes, T. L. (2002). Business-unit-level relationship between employee satisfaction, employee engagement, and business outcomes: a meta-analysis. </w:t>
            </w:r>
            <w:r w:rsidRPr="00E1373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Journal of Applied Psychology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, </w:t>
            </w:r>
            <w:r w:rsidRPr="00E1373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87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, 268-279. doi:</w:t>
            </w:r>
            <w:r w:rsidRPr="00E1373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10.1037/0021-9010.87.2.268</w:t>
            </w:r>
          </w:p>
          <w:p w14:paraId="4A99C864" w14:textId="57F5335C" w:rsidR="00F4524C" w:rsidRPr="00E1373D" w:rsidRDefault="00F4524C" w:rsidP="00E1373D">
            <w:pPr>
              <w:spacing w:after="60"/>
              <w:ind w:left="11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F4524C" w:rsidRPr="00C4385C" w14:paraId="0B93F262" w14:textId="77777777" w:rsidTr="00E1373D">
        <w:tc>
          <w:tcPr>
            <w:tcW w:w="1231" w:type="pct"/>
            <w:shd w:val="clear" w:color="auto" w:fill="auto"/>
          </w:tcPr>
          <w:p w14:paraId="6DA9D262" w14:textId="6A5494E1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C6. Analiza actorilor organizationali (2 ore)</w:t>
            </w:r>
          </w:p>
        </w:tc>
        <w:tc>
          <w:tcPr>
            <w:tcW w:w="770" w:type="pct"/>
            <w:shd w:val="clear" w:color="auto" w:fill="auto"/>
          </w:tcPr>
          <w:p w14:paraId="26F8DDC8" w14:textId="5EFA2F97" w:rsidR="00F4524C" w:rsidRPr="00E1373D" w:rsidRDefault="00F4524C" w:rsidP="00E1373D">
            <w:pPr>
              <w:spacing w:after="95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Prelegere, conversație, </w:t>
            </w:r>
          </w:p>
        </w:tc>
        <w:tc>
          <w:tcPr>
            <w:tcW w:w="2999" w:type="pct"/>
            <w:shd w:val="clear" w:color="auto" w:fill="auto"/>
          </w:tcPr>
          <w:p w14:paraId="12C47D4A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Identificarea actorilor-cheie, implicatiile politice ale DO, metodele calitative si cantitative de diagnoza organizationala</w:t>
            </w:r>
          </w:p>
          <w:p w14:paraId="170730AA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09E2A6C1" w14:textId="77777777" w:rsidR="00F4524C" w:rsidRPr="00E1373D" w:rsidRDefault="00F4524C" w:rsidP="00E1373D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Pitariu, H.D., Budeanu, A. (2007).</w:t>
            </w:r>
            <w:r w:rsidRPr="00E1373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Cultura organizationala. Modele si metode de interventie. </w:t>
            </w: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Editura ASCR, Cluj-Napoca</w:t>
            </w:r>
          </w:p>
          <w:p w14:paraId="346115F4" w14:textId="3F008A40" w:rsidR="00F4524C" w:rsidRPr="00E1373D" w:rsidRDefault="00F4524C" w:rsidP="00E1373D">
            <w:pPr>
              <w:spacing w:after="5" w:line="234" w:lineRule="auto"/>
              <w:ind w:left="720" w:right="42" w:hanging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524C" w:rsidRPr="00C4385C" w14:paraId="1F1B2FD5" w14:textId="77777777" w:rsidTr="00E1373D">
        <w:tc>
          <w:tcPr>
            <w:tcW w:w="1231" w:type="pct"/>
            <w:shd w:val="clear" w:color="auto" w:fill="auto"/>
          </w:tcPr>
          <w:p w14:paraId="7D75CF9C" w14:textId="6C9A1CA6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C7. Metode calitative  si cantitative de DO (2 ore)</w:t>
            </w:r>
          </w:p>
        </w:tc>
        <w:tc>
          <w:tcPr>
            <w:tcW w:w="770" w:type="pct"/>
            <w:shd w:val="clear" w:color="auto" w:fill="auto"/>
          </w:tcPr>
          <w:p w14:paraId="2BAA808B" w14:textId="3668A21E" w:rsidR="00F4524C" w:rsidRPr="00E1373D" w:rsidRDefault="00F4524C" w:rsidP="00E1373D">
            <w:pPr>
              <w:spacing w:after="13"/>
              <w:ind w:left="88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575044F7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Analiza documentelor, observatia, Interviul, focus-grupul, chestionarul, avantaje si dezavantaje ale fiecarei metode</w:t>
            </w:r>
          </w:p>
          <w:p w14:paraId="3D728967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6E0E0DCE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Cooper, CL, Locke, EA. (2000). </w:t>
            </w:r>
            <w:r w:rsidRPr="00E1373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Industrial and organizational psychology: Linking theory with practice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, Blackwell</w:t>
            </w:r>
          </w:p>
          <w:p w14:paraId="47122B7D" w14:textId="6720259F" w:rsidR="00F4524C" w:rsidRPr="00E1373D" w:rsidRDefault="00F4524C" w:rsidP="00E1373D">
            <w:pPr>
              <w:spacing w:after="5" w:line="234" w:lineRule="auto"/>
              <w:ind w:left="720" w:right="42" w:hanging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524C" w:rsidRPr="00C4385C" w14:paraId="33E56B8F" w14:textId="77777777" w:rsidTr="00E1373D">
        <w:tc>
          <w:tcPr>
            <w:tcW w:w="1231" w:type="pct"/>
            <w:shd w:val="clear" w:color="auto" w:fill="auto"/>
          </w:tcPr>
          <w:p w14:paraId="1E6A7A2F" w14:textId="35C0DC03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C8. Strategia de culegerea datelor in DO (2 ore)</w:t>
            </w:r>
          </w:p>
        </w:tc>
        <w:tc>
          <w:tcPr>
            <w:tcW w:w="770" w:type="pct"/>
            <w:shd w:val="clear" w:color="auto" w:fill="auto"/>
          </w:tcPr>
          <w:p w14:paraId="75DE2899" w14:textId="3C3331AC" w:rsidR="00F4524C" w:rsidRPr="00E1373D" w:rsidRDefault="00F4524C" w:rsidP="00E1373D">
            <w:pPr>
              <w:spacing w:after="17"/>
              <w:ind w:left="88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13057485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Tipuri de diagnostic organizational, planificarea unui studiu organizational, etapele implementarii unei DO</w:t>
            </w:r>
          </w:p>
          <w:p w14:paraId="5353CE68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225F8B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66C87961" w14:textId="2EB849B0" w:rsidR="00F4524C" w:rsidRPr="00E1373D" w:rsidRDefault="00F4524C" w:rsidP="00E1373D">
            <w:pPr>
              <w:spacing w:after="77"/>
              <w:ind w:left="91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Harrison, M. I. (2004).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Diagnosing organizations: Methods, models, and processes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 (Vol. 8). Sage Publications</w:t>
            </w:r>
          </w:p>
        </w:tc>
      </w:tr>
      <w:tr w:rsidR="00F4524C" w:rsidRPr="00C4385C" w14:paraId="0D573DFC" w14:textId="77777777" w:rsidTr="00E1373D">
        <w:tc>
          <w:tcPr>
            <w:tcW w:w="1231" w:type="pct"/>
            <w:shd w:val="clear" w:color="auto" w:fill="auto"/>
          </w:tcPr>
          <w:p w14:paraId="6F2176C9" w14:textId="6C65FA75" w:rsidR="00F4524C" w:rsidRPr="00E1373D" w:rsidRDefault="00F4524C" w:rsidP="00E1373D">
            <w:pPr>
              <w:spacing w:after="82" w:line="234" w:lineRule="auto"/>
              <w:ind w:right="8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C9. Cultura si climat organizational - Studiile organizationale (2 ore)</w:t>
            </w:r>
          </w:p>
        </w:tc>
        <w:tc>
          <w:tcPr>
            <w:tcW w:w="770" w:type="pct"/>
            <w:shd w:val="clear" w:color="auto" w:fill="auto"/>
          </w:tcPr>
          <w:p w14:paraId="71D6E9AA" w14:textId="30855AA6" w:rsidR="00F4524C" w:rsidRPr="00E1373D" w:rsidRDefault="00F4524C" w:rsidP="00E1373D">
            <w:pPr>
              <w:spacing w:after="94"/>
              <w:ind w:left="88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06F36DDF" w14:textId="77777777" w:rsidR="00F4524C" w:rsidRPr="002E60B7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E60B7">
              <w:rPr>
                <w:rFonts w:asciiTheme="minorHAnsi" w:hAnsiTheme="minorHAnsi" w:cstheme="minorHAnsi"/>
                <w:sz w:val="20"/>
                <w:szCs w:val="20"/>
              </w:rPr>
              <w:t>Definirea climatului, identificarea modelelor de cultura organizationala, metode de evaluare</w:t>
            </w:r>
          </w:p>
          <w:p w14:paraId="43CAB624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Virga, D.</w:t>
            </w: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(2007). Diagnoza organizationala. In Z. Bogathy (coord.).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Manual de tehnici si metode in psihologia organizationala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. Iasi: Editura Polirom</w:t>
            </w:r>
          </w:p>
          <w:p w14:paraId="52BA4A69" w14:textId="77777777" w:rsidR="00F4524C" w:rsidRPr="00E1373D" w:rsidRDefault="00F4524C" w:rsidP="00E1373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Pitariu, H.D., Budeanu, A. (2007).</w:t>
            </w:r>
            <w:r w:rsidRPr="00E1373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Cultura organizationala. Modele si metode de interventie. </w:t>
            </w:r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Editura ASCR, Cluj-Napoca</w:t>
            </w:r>
          </w:p>
          <w:p w14:paraId="4FC574FC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Berberoglu, A. (2018). Impact of organizational climate on organizational commitment and perceived organizational performance: empirical evidence from public hospitals.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BMC health services research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18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(1), 399.</w:t>
            </w:r>
          </w:p>
          <w:p w14:paraId="5CCF0748" w14:textId="7A8CDBC2" w:rsidR="00F4524C" w:rsidRPr="00E1373D" w:rsidRDefault="00F4524C" w:rsidP="00E1373D">
            <w:pPr>
              <w:spacing w:after="95"/>
              <w:ind w:left="91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F4524C" w:rsidRPr="00C4385C" w14:paraId="5AB61892" w14:textId="77777777" w:rsidTr="00E1373D">
        <w:tc>
          <w:tcPr>
            <w:tcW w:w="1231" w:type="pct"/>
            <w:shd w:val="clear" w:color="auto" w:fill="auto"/>
          </w:tcPr>
          <w:p w14:paraId="63F0A02A" w14:textId="7B79A820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C10. Interventii organizationale 1</w:t>
            </w:r>
          </w:p>
        </w:tc>
        <w:tc>
          <w:tcPr>
            <w:tcW w:w="770" w:type="pct"/>
            <w:shd w:val="clear" w:color="auto" w:fill="auto"/>
          </w:tcPr>
          <w:p w14:paraId="213D5163" w14:textId="483000AC" w:rsidR="00F4524C" w:rsidRPr="00E1373D" w:rsidRDefault="00F4524C" w:rsidP="00E1373D">
            <w:pPr>
              <w:tabs>
                <w:tab w:val="left" w:pos="804"/>
              </w:tabs>
              <w:spacing w:after="95"/>
              <w:ind w:left="88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7496A50A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Cercetari organizationale de tip interventie</w:t>
            </w:r>
          </w:p>
          <w:p w14:paraId="524679AD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citit: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 Articole specifice din baze de date international</w:t>
            </w:r>
          </w:p>
          <w:p w14:paraId="74B6C43A" w14:textId="77777777" w:rsidR="00F4524C" w:rsidRPr="00E1373D" w:rsidRDefault="00F4524C" w:rsidP="00E1373D">
            <w:pPr>
              <w:tabs>
                <w:tab w:val="left" w:pos="6096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Virga, D., Maricutoiu, L., &amp; Iancu, A. (2020). The efficacy of work engagement interventions: </w:t>
            </w:r>
            <w:r w:rsidRPr="00E1373D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n-US"/>
              </w:rPr>
              <w:t xml:space="preserve">A meta-analysis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of controlled trials,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>Current Psychology,</w:t>
            </w:r>
          </w:p>
          <w:p w14:paraId="2292D1DE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680C8B" w14:textId="758A0198" w:rsidR="00F4524C" w:rsidRPr="00E1373D" w:rsidRDefault="00F4524C" w:rsidP="00E1373D">
            <w:pPr>
              <w:tabs>
                <w:tab w:val="left" w:pos="18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Maricuţoiu, L., Sava, F., &amp; Butta, O. (2016). The effectiveness of controlled interventions on employees’ burnout: A meta-analysis. </w:t>
            </w:r>
            <w:r w:rsidRPr="00E1373D">
              <w:rPr>
                <w:rFonts w:asciiTheme="minorHAnsi" w:hAnsiTheme="minorHAnsi" w:cstheme="minorHAnsi"/>
                <w:i/>
                <w:sz w:val="20"/>
                <w:szCs w:val="20"/>
              </w:rPr>
              <w:t>Journal of Occupational and Organizational Psychology, 89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, 1-27. doi: 10.1111/joop.12099.</w:t>
            </w:r>
          </w:p>
        </w:tc>
      </w:tr>
      <w:tr w:rsidR="00F4524C" w:rsidRPr="00C4385C" w14:paraId="02466039" w14:textId="77777777" w:rsidTr="00E1373D">
        <w:tc>
          <w:tcPr>
            <w:tcW w:w="1231" w:type="pct"/>
            <w:shd w:val="clear" w:color="auto" w:fill="auto"/>
          </w:tcPr>
          <w:p w14:paraId="7F7B2BBE" w14:textId="5DAB2155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C11. Interventii organizationale 2</w:t>
            </w:r>
          </w:p>
        </w:tc>
        <w:tc>
          <w:tcPr>
            <w:tcW w:w="770" w:type="pct"/>
            <w:shd w:val="clear" w:color="auto" w:fill="auto"/>
          </w:tcPr>
          <w:p w14:paraId="334A1588" w14:textId="1B8C8205" w:rsidR="00F4524C" w:rsidRPr="00E1373D" w:rsidRDefault="00F4524C" w:rsidP="00E1373D">
            <w:pPr>
              <w:spacing w:after="79"/>
              <w:ind w:left="5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4C6C847B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Cercetari organizationale de tip interventie</w:t>
            </w:r>
          </w:p>
          <w:p w14:paraId="7A2351CD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citit: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 xml:space="preserve"> Articole specifice din baze de date international</w:t>
            </w:r>
          </w:p>
          <w:p w14:paraId="38060DA0" w14:textId="77777777" w:rsidR="00F4524C" w:rsidRPr="00E1373D" w:rsidRDefault="00F4524C" w:rsidP="00E1373D">
            <w:pPr>
              <w:pStyle w:val="EndNoteBibliography"/>
              <w:spacing w:after="0"/>
              <w:ind w:left="720" w:hanging="630"/>
              <w:rPr>
                <w:rFonts w:asciiTheme="minorHAnsi" w:hAnsiTheme="minorHAnsi" w:cstheme="minorHAnsi"/>
              </w:rPr>
            </w:pPr>
            <w:r w:rsidRPr="00C806FC">
              <w:rPr>
                <w:rFonts w:asciiTheme="minorHAnsi" w:hAnsiTheme="minorHAnsi" w:cstheme="minorHAnsi"/>
                <w:lang w:val="ro-RO"/>
              </w:rPr>
              <w:t xml:space="preserve">Lupșa, D., Vîrgă, D., Maricuțoiu, L.P., &amp; Rusu, A. (2019). </w:t>
            </w:r>
            <w:r w:rsidRPr="00E1373D">
              <w:rPr>
                <w:rFonts w:asciiTheme="minorHAnsi" w:hAnsiTheme="minorHAnsi" w:cstheme="minorHAnsi"/>
                <w:lang w:val="en-US"/>
              </w:rPr>
              <w:t xml:space="preserve">Increasing Psychological Capital: A pre-registered meta-analysis of controlled interventions. </w:t>
            </w:r>
            <w:r w:rsidRPr="00E1373D">
              <w:rPr>
                <w:rFonts w:asciiTheme="minorHAnsi" w:hAnsiTheme="minorHAnsi" w:cstheme="minorHAnsi"/>
                <w:i/>
                <w:lang w:val="en-US"/>
              </w:rPr>
              <w:t xml:space="preserve">Applied Psychology: An International Review. </w:t>
            </w:r>
            <w:r w:rsidRPr="00E1373D">
              <w:rPr>
                <w:rFonts w:asciiTheme="minorHAnsi" w:hAnsiTheme="minorHAnsi" w:cstheme="minorHAnsi"/>
                <w:lang w:val="en-US"/>
              </w:rPr>
              <w:t xml:space="preserve">doi: </w:t>
            </w:r>
            <w:hyperlink r:id="rId7" w:history="1">
              <w:r w:rsidRPr="00E1373D">
                <w:rPr>
                  <w:rStyle w:val="Hyperlink"/>
                  <w:rFonts w:asciiTheme="minorHAnsi" w:hAnsiTheme="minorHAnsi" w:cstheme="minorHAnsi"/>
                  <w:bCs/>
                  <w:shd w:val="clear" w:color="auto" w:fill="FFFFFF"/>
                </w:rPr>
                <w:t>10.1111/apps.12219</w:t>
              </w:r>
            </w:hyperlink>
          </w:p>
          <w:p w14:paraId="3C28BF79" w14:textId="5B45792E" w:rsidR="00F4524C" w:rsidRPr="00E1373D" w:rsidRDefault="00F4524C" w:rsidP="00E1373D">
            <w:pPr>
              <w:spacing w:after="73" w:line="245" w:lineRule="auto"/>
              <w:ind w:left="637" w:hanging="629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Hodges, J. (2017).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Consultancy, organizational development and change: a practical guide to delivering value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. Kogan Page Publishers.</w:t>
            </w:r>
          </w:p>
        </w:tc>
      </w:tr>
      <w:tr w:rsidR="00F4524C" w:rsidRPr="00C4385C" w14:paraId="0ECB101C" w14:textId="77777777" w:rsidTr="00E1373D">
        <w:tc>
          <w:tcPr>
            <w:tcW w:w="1231" w:type="pct"/>
            <w:shd w:val="clear" w:color="auto" w:fill="auto"/>
          </w:tcPr>
          <w:p w14:paraId="2D3799E5" w14:textId="17CFF864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C12. Rolul consultantului in proiectarea interventiilor organizationale</w:t>
            </w:r>
          </w:p>
        </w:tc>
        <w:tc>
          <w:tcPr>
            <w:tcW w:w="770" w:type="pct"/>
            <w:shd w:val="clear" w:color="auto" w:fill="auto"/>
          </w:tcPr>
          <w:p w14:paraId="4917BE02" w14:textId="518C3EE5" w:rsidR="00F4524C" w:rsidRPr="00E1373D" w:rsidRDefault="00F4524C" w:rsidP="00E1373D">
            <w:pPr>
              <w:spacing w:after="95"/>
              <w:ind w:left="5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</w:t>
            </w:r>
          </w:p>
        </w:tc>
        <w:tc>
          <w:tcPr>
            <w:tcW w:w="2999" w:type="pct"/>
            <w:shd w:val="clear" w:color="auto" w:fill="auto"/>
          </w:tcPr>
          <w:p w14:paraId="0C55ABF0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Tipuri de consultant, modalitati de abordate, interventii organizationale</w:t>
            </w:r>
          </w:p>
          <w:p w14:paraId="4DB1DA5F" w14:textId="77777777" w:rsidR="00F4524C" w:rsidRPr="00E1373D" w:rsidRDefault="00F4524C" w:rsidP="00E1373D">
            <w:pPr>
              <w:tabs>
                <w:tab w:val="left" w:pos="180"/>
              </w:tabs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</w:pPr>
            <w:r w:rsidRPr="00E1373D">
              <w:rPr>
                <w:rFonts w:asciiTheme="minorHAnsi" w:hAnsiTheme="minorHAnsi" w:cstheme="minorHAnsi"/>
                <w:b/>
                <w:i/>
                <w:color w:val="800000"/>
                <w:sz w:val="20"/>
                <w:szCs w:val="20"/>
              </w:rPr>
              <w:t>De citit</w:t>
            </w:r>
            <w:r w:rsidRPr="00E1373D">
              <w:rPr>
                <w:rFonts w:asciiTheme="minorHAnsi" w:hAnsiTheme="minorHAnsi" w:cstheme="minorHAnsi"/>
                <w:color w:val="800000"/>
                <w:sz w:val="20"/>
                <w:szCs w:val="20"/>
              </w:rPr>
              <w:t xml:space="preserve">: 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Nielsen, K., &amp; Noblet, A. (Eds.). (2018).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Organizational interventions for health and well-being: A handbook for evidence-based practice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. Routledge.</w:t>
            </w:r>
          </w:p>
          <w:p w14:paraId="2EE12812" w14:textId="3B135397" w:rsidR="00F4524C" w:rsidRPr="00E1373D" w:rsidRDefault="00F4524C" w:rsidP="00E1373D">
            <w:pPr>
              <w:spacing w:after="60"/>
              <w:ind w:left="8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Hasson, H., von Thiele Schwarz, U., Nielsen, K., &amp; Tafvelin, S. (2016). Are we all in the same boat? The role of perceptual distance in organizational health interventions.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Stress and Health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32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(4), 294-303.</w:t>
            </w:r>
          </w:p>
        </w:tc>
      </w:tr>
      <w:tr w:rsidR="00F4524C" w:rsidRPr="00C4385C" w14:paraId="2FD2756D" w14:textId="77777777" w:rsidTr="00E1373D">
        <w:tc>
          <w:tcPr>
            <w:tcW w:w="1231" w:type="pct"/>
            <w:shd w:val="clear" w:color="auto" w:fill="auto"/>
          </w:tcPr>
          <w:p w14:paraId="22C26BA7" w14:textId="5E13FF5B" w:rsidR="00F4524C" w:rsidRPr="00E1373D" w:rsidRDefault="00F4524C" w:rsidP="00E1373D">
            <w:pPr>
              <w:spacing w:after="79" w:line="237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C13. Elaborarea metodologiei de elaborarea lucrarii de evaluare (2 ore)</w:t>
            </w:r>
          </w:p>
        </w:tc>
        <w:tc>
          <w:tcPr>
            <w:tcW w:w="770" w:type="pct"/>
            <w:shd w:val="clear" w:color="auto" w:fill="auto"/>
          </w:tcPr>
          <w:p w14:paraId="17A8B7A4" w14:textId="56F8F3D9" w:rsidR="00F4524C" w:rsidRPr="00E1373D" w:rsidRDefault="00F4524C" w:rsidP="00E1373D">
            <w:pPr>
              <w:spacing w:after="94"/>
              <w:ind w:left="5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Prelegere, conversație, demonstrație</w:t>
            </w:r>
          </w:p>
        </w:tc>
        <w:tc>
          <w:tcPr>
            <w:tcW w:w="2999" w:type="pct"/>
            <w:shd w:val="clear" w:color="auto" w:fill="auto"/>
          </w:tcPr>
          <w:p w14:paraId="18B5A62F" w14:textId="77777777" w:rsidR="00F4524C" w:rsidRPr="00E1373D" w:rsidRDefault="00F4524C" w:rsidP="00E1373D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Selectarea metodelor de diagnoza organizationala specifice obiectivului formulat, adaptarea chestionarului de DO</w:t>
            </w:r>
          </w:p>
          <w:p w14:paraId="0BB52069" w14:textId="77777777" w:rsidR="00F4524C" w:rsidRPr="00E1373D" w:rsidRDefault="00F4524C" w:rsidP="00E1373D">
            <w:pPr>
              <w:rPr>
                <w:rFonts w:asciiTheme="minorHAnsi" w:hAnsiTheme="minorHAnsi" w:cstheme="minorHAnsi"/>
                <w:b/>
                <w:bCs/>
                <w:i/>
                <w:color w:val="800000"/>
                <w:sz w:val="20"/>
                <w:szCs w:val="20"/>
              </w:rPr>
            </w:pPr>
          </w:p>
          <w:p w14:paraId="3EA90CA0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b/>
                <w:bCs/>
                <w:i/>
                <w:color w:val="800000"/>
                <w:sz w:val="20"/>
                <w:szCs w:val="20"/>
              </w:rPr>
              <w:t xml:space="preserve">De citit </w:t>
            </w:r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Constantin, T., Stoica-Constantin, A. (2002). Managementul resurselor umane - Ghid practic si Instrumente, Iasi: Institutul European</w:t>
            </w:r>
          </w:p>
          <w:p w14:paraId="76561D9B" w14:textId="77777777" w:rsidR="00F4524C" w:rsidRPr="00E1373D" w:rsidRDefault="00F4524C" w:rsidP="00E1373D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E1373D">
              <w:rPr>
                <w:rFonts w:asciiTheme="minorHAnsi" w:hAnsiTheme="minorHAnsi" w:cstheme="minorHAnsi"/>
                <w:b/>
                <w:bCs/>
                <w:i/>
                <w:color w:val="800000"/>
                <w:sz w:val="20"/>
                <w:szCs w:val="20"/>
              </w:rPr>
              <w:t>Resurse bibliografice complementare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Hodges, J. (2017). </w:t>
            </w:r>
            <w:r w:rsidRPr="00E1373D">
              <w:rPr>
                <w:rFonts w:asciiTheme="minorHAnsi" w:hAnsiTheme="minorHAnsi" w:cstheme="minorHAnsi"/>
                <w:i/>
                <w:iCs/>
                <w:color w:val="222222"/>
                <w:sz w:val="20"/>
                <w:szCs w:val="20"/>
                <w:shd w:val="clear" w:color="auto" w:fill="FFFFFF"/>
              </w:rPr>
              <w:t>Consultancy, organizational development and change: a practical guide to delivering value</w:t>
            </w:r>
            <w:r w:rsidRPr="00E1373D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. Kogan Page Publishers.</w:t>
            </w:r>
            <w:r w:rsidRPr="00E1373D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14:paraId="3E99DD7A" w14:textId="27AFA765" w:rsidR="00F4524C" w:rsidRPr="00E1373D" w:rsidRDefault="00F4524C" w:rsidP="00E1373D">
            <w:pPr>
              <w:spacing w:after="94" w:line="234" w:lineRule="auto"/>
              <w:ind w:left="637" w:hanging="6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524C" w:rsidRPr="00C4385C" w14:paraId="40DC4846" w14:textId="77777777" w:rsidTr="006776B9">
        <w:tc>
          <w:tcPr>
            <w:tcW w:w="5000" w:type="pct"/>
            <w:gridSpan w:val="3"/>
            <w:shd w:val="clear" w:color="auto" w:fill="auto"/>
          </w:tcPr>
          <w:p w14:paraId="6E1EA7E4" w14:textId="53EA8C5B" w:rsidR="00F4524C" w:rsidRPr="004E55DC" w:rsidRDefault="00F4524C" w:rsidP="00F4524C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4E55D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Bibliografie principală :</w:t>
            </w:r>
          </w:p>
          <w:p w14:paraId="033CDD13" w14:textId="64E765CE" w:rsidR="00E1373D" w:rsidRPr="00E1373D" w:rsidRDefault="00E1373D" w:rsidP="00E1373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Constantin, T. (2004). Evaluarea psihologica a personalului. </w:t>
            </w:r>
            <w:proofErr w:type="spellStart"/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Polirom</w:t>
            </w:r>
            <w:proofErr w:type="spellEnd"/>
            <w:r w:rsidRPr="00E1373D">
              <w:rPr>
                <w:rFonts w:asciiTheme="minorHAnsi" w:hAnsiTheme="minorHAnsi" w:cstheme="minorHAnsi"/>
                <w:sz w:val="20"/>
                <w:szCs w:val="20"/>
              </w:rPr>
              <w:t>, Iasi</w:t>
            </w:r>
          </w:p>
          <w:p w14:paraId="50F9DF7E" w14:textId="77777777" w:rsidR="00E1373D" w:rsidRPr="00E1373D" w:rsidRDefault="00E1373D" w:rsidP="00E1373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806FC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Pitariu, H.D., Budeanu, A. (2007).</w:t>
            </w:r>
            <w:r w:rsidRPr="00C806FC">
              <w:rPr>
                <w:rFonts w:asciiTheme="minorHAnsi" w:hAnsiTheme="minorHAnsi" w:cstheme="minorHAnsi"/>
                <w:bCs/>
                <w:i/>
                <w:sz w:val="20"/>
                <w:szCs w:val="20"/>
                <w:lang w:val="pl-PL"/>
              </w:rPr>
              <w:t xml:space="preserve"> </w:t>
            </w:r>
            <w:r w:rsidRPr="00C806FC">
              <w:rPr>
                <w:rFonts w:asciiTheme="minorHAnsi" w:hAnsiTheme="minorHAnsi" w:cstheme="minorHAnsi"/>
                <w:bCs/>
                <w:i/>
                <w:sz w:val="20"/>
                <w:szCs w:val="20"/>
                <w:lang w:val="pt-BR"/>
              </w:rPr>
              <w:t xml:space="preserve">Cultura organizationala. Modele si metode de interventie. </w:t>
            </w:r>
            <w:proofErr w:type="spellStart"/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>Editura</w:t>
            </w:r>
            <w:proofErr w:type="spellEnd"/>
            <w:r w:rsidRPr="00E137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ASCR, Cluj-Napoca</w:t>
            </w:r>
          </w:p>
          <w:p w14:paraId="1CFFCA75" w14:textId="3573F638" w:rsidR="00E1373D" w:rsidRPr="00C806FC" w:rsidRDefault="007961CC" w:rsidP="00E1373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Virga, D.M. (2022</w:t>
            </w:r>
            <w:r w:rsidR="00E1373D"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). Note de curs</w:t>
            </w:r>
          </w:p>
          <w:p w14:paraId="08891E11" w14:textId="5D8CCA36" w:rsidR="00E1373D" w:rsidRPr="00C806FC" w:rsidRDefault="00E1373D" w:rsidP="00E1373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Virga, D.</w:t>
            </w:r>
            <w:r w:rsidRPr="00C806FC">
              <w:rPr>
                <w:rFonts w:asciiTheme="minorHAnsi" w:hAnsiTheme="minorHAnsi" w:cstheme="minorHAnsi"/>
                <w:b/>
                <w:i/>
                <w:sz w:val="20"/>
                <w:szCs w:val="20"/>
                <w:lang w:val="pt-BR"/>
              </w:rPr>
              <w:t xml:space="preserve"> </w:t>
            </w: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(2007).</w:t>
            </w:r>
            <w:r w:rsidR="002E60B7"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</w:t>
            </w: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Diagnoza organizationala. In Z. Bogathy (coord.). </w:t>
            </w:r>
            <w:r w:rsidRPr="00C806FC">
              <w:rPr>
                <w:rFonts w:asciiTheme="minorHAnsi" w:hAnsiTheme="minorHAnsi" w:cstheme="minorHAnsi"/>
                <w:i/>
                <w:sz w:val="20"/>
                <w:szCs w:val="20"/>
                <w:lang w:val="pt-BR"/>
              </w:rPr>
              <w:t xml:space="preserve">Manual de tehnici si metode in psihologia organizationala </w:t>
            </w:r>
            <w:r w:rsidRPr="00C806FC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. Iasi: Editura Polirom</w:t>
            </w:r>
          </w:p>
          <w:p w14:paraId="60B10CD2" w14:textId="74700552" w:rsidR="00F4524C" w:rsidRPr="00E1373D" w:rsidRDefault="00E1373D" w:rsidP="00E1373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373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Articole din baze de date internationale</w:t>
            </w:r>
          </w:p>
          <w:p w14:paraId="107DB02C" w14:textId="77777777" w:rsidR="00F4524C" w:rsidRPr="004E55DC" w:rsidRDefault="00F4524C" w:rsidP="00F4524C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3"/>
            </w:tblGrid>
            <w:tr w:rsidR="00E1373D" w:rsidRPr="00E1373D" w14:paraId="5FF675F5" w14:textId="77777777">
              <w:trPr>
                <w:trHeight w:val="288"/>
              </w:trPr>
              <w:tc>
                <w:tcPr>
                  <w:tcW w:w="0" w:type="auto"/>
                </w:tcPr>
                <w:p w14:paraId="5B5ED3F6" w14:textId="77777777" w:rsidR="00E1373D" w:rsidRPr="00C806FC" w:rsidRDefault="00E1373D" w:rsidP="00E1373D">
                  <w:pPr>
                    <w:pStyle w:val="NoSpacing"/>
                    <w:rPr>
                      <w:rFonts w:asciiTheme="minorHAnsi" w:hAnsiTheme="minorHAnsi" w:cstheme="minorHAnsi"/>
                      <w:lang w:val="pt-BR"/>
                    </w:rPr>
                  </w:pPr>
                  <w:r w:rsidRPr="00C806FC">
                    <w:rPr>
                      <w:rFonts w:asciiTheme="minorHAnsi" w:hAnsiTheme="minorHAnsi" w:cstheme="minorHAnsi"/>
                      <w:lang w:val="ro-RO"/>
                    </w:rPr>
                    <w:t xml:space="preserve">Disciplina este concepută astfel încât să răspundă deopotrivă așteptărilor Colegiului Psihologilor din România, Comisia aplicativă de Psihologia muncii, psihologia transporturilor și aplicată în servicii. </w:t>
                  </w:r>
                  <w:r w:rsidRPr="00C806FC">
                    <w:rPr>
                      <w:rFonts w:asciiTheme="minorHAnsi" w:hAnsiTheme="minorHAnsi" w:cstheme="minorHAnsi"/>
                      <w:lang w:val="pt-BR"/>
                    </w:rPr>
                    <w:t xml:space="preserve">De asemenea, alegerea temelor cu conținut aplicativ s-a realizat în urma consultării pieței serviciilor de evaluare psihologică, atât din zona Resurselor Umane, cât și cea a Cabinetelor de Psihologie. </w:t>
                  </w:r>
                </w:p>
              </w:tc>
            </w:tr>
          </w:tbl>
          <w:p w14:paraId="573D3022" w14:textId="77777777" w:rsidR="00E0255D" w:rsidRPr="00C4385C" w:rsidRDefault="00E0255D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1373D" w:rsidRPr="00C4385C" w14:paraId="70F082A4" w14:textId="77777777" w:rsidTr="00802D13">
        <w:trPr>
          <w:trHeight w:val="363"/>
        </w:trPr>
        <w:tc>
          <w:tcPr>
            <w:tcW w:w="2581" w:type="dxa"/>
            <w:vMerge w:val="restart"/>
            <w:shd w:val="clear" w:color="auto" w:fill="auto"/>
          </w:tcPr>
          <w:p w14:paraId="2723C094" w14:textId="727AED8F" w:rsidR="00E1373D" w:rsidRPr="00C4385C" w:rsidRDefault="003174AB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9.1</w:t>
            </w:r>
            <w:r w:rsidR="00E1373D" w:rsidRPr="00C4385C">
              <w:rPr>
                <w:rFonts w:asciiTheme="minorHAnsi" w:hAnsiTheme="minorHAnsi" w:cstheme="minorHAnsi"/>
                <w:lang w:val="ro-RO"/>
              </w:rPr>
              <w:t xml:space="preserve"> Curs</w:t>
            </w:r>
          </w:p>
        </w:tc>
        <w:tc>
          <w:tcPr>
            <w:tcW w:w="1912" w:type="dxa"/>
            <w:shd w:val="clear" w:color="auto" w:fill="auto"/>
          </w:tcPr>
          <w:p w14:paraId="4C213948" w14:textId="4D6F264A" w:rsidR="00E1373D" w:rsidRPr="00C4385C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806FC">
              <w:rPr>
                <w:lang w:val="pt-BR"/>
              </w:rPr>
              <w:t>Cunoștințe și abilități. Capacitatea de a rezolva în mod autonom o sarcină</w:t>
            </w:r>
          </w:p>
        </w:tc>
        <w:tc>
          <w:tcPr>
            <w:tcW w:w="3191" w:type="dxa"/>
            <w:shd w:val="clear" w:color="auto" w:fill="auto"/>
          </w:tcPr>
          <w:p w14:paraId="0D0E3136" w14:textId="77777777" w:rsidR="00E1373D" w:rsidRPr="00C806FC" w:rsidRDefault="00E1373D" w:rsidP="00E1373D">
            <w:pPr>
              <w:pStyle w:val="NoSpacing"/>
              <w:rPr>
                <w:lang w:val="pt-BR"/>
              </w:rPr>
            </w:pPr>
            <w:r w:rsidRPr="00C806FC">
              <w:rPr>
                <w:lang w:val="pt-BR"/>
              </w:rPr>
              <w:t>Sarcina presupune realizarea unei diagnoze organizationale intr-o organizatie reala, pe baza metodologiei prestabilite si redactarea unui raport de diagnoza organizationala de tip executiv (adresat managerului organizatiei) ce contine si un plan de interventie</w:t>
            </w:r>
          </w:p>
          <w:p w14:paraId="319F6BCE" w14:textId="748289EE" w:rsidR="00E1373D" w:rsidRPr="00C4385C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806FC">
              <w:rPr>
                <w:lang w:val="pt-BR"/>
              </w:rPr>
              <w:t>La această sarcină se acordă un punctaj între 10 puncte (oficiu) și 100 de puncte. Nota obținută la această sarcină nu se reportează, ea fiind susținută, în fiecare sesiune de restanță / mărire de notă.</w:t>
            </w:r>
          </w:p>
        </w:tc>
        <w:tc>
          <w:tcPr>
            <w:tcW w:w="1695" w:type="dxa"/>
            <w:shd w:val="clear" w:color="auto" w:fill="auto"/>
          </w:tcPr>
          <w:p w14:paraId="4BF77FD9" w14:textId="3C23C3CD" w:rsidR="00E1373D" w:rsidRPr="00C4385C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806FC">
              <w:rPr>
                <w:lang w:val="pt-BR"/>
              </w:rPr>
              <w:t>100% (între 10 și maximum 100 de puncte)</w:t>
            </w:r>
          </w:p>
        </w:tc>
      </w:tr>
      <w:tr w:rsidR="00E1373D" w:rsidRPr="00C4385C" w14:paraId="51B60B6B" w14:textId="77777777" w:rsidTr="00802D13">
        <w:trPr>
          <w:trHeight w:val="567"/>
        </w:trPr>
        <w:tc>
          <w:tcPr>
            <w:tcW w:w="2581" w:type="dxa"/>
            <w:vMerge/>
            <w:shd w:val="clear" w:color="auto" w:fill="auto"/>
          </w:tcPr>
          <w:p w14:paraId="55D0D379" w14:textId="431B70E1" w:rsidR="00E1373D" w:rsidRPr="00C4385C" w:rsidRDefault="00E1373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shd w:val="clear" w:color="auto" w:fill="auto"/>
          </w:tcPr>
          <w:p w14:paraId="474DB993" w14:textId="22CBDA91" w:rsidR="00E1373D" w:rsidRPr="004E55DC" w:rsidRDefault="00E1373D" w:rsidP="004E55DC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Bonus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participare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14:paraId="0BD51678" w14:textId="1930BA22" w:rsidR="00E1373D" w:rsidRPr="00C4385C" w:rsidRDefault="00E1373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Participarea la cel puțin 50% din cursuri. Bonusul se reportează în eventuale sesiuni / evaluări ulterioare</w:t>
            </w:r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1695" w:type="dxa"/>
            <w:shd w:val="clear" w:color="auto" w:fill="auto"/>
          </w:tcPr>
          <w:p w14:paraId="7CCFC311" w14:textId="77777777" w:rsidR="00E1373D" w:rsidRPr="00E1373D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Bonus 5%</w:t>
            </w:r>
          </w:p>
          <w:p w14:paraId="0AA4073B" w14:textId="497B6421" w:rsidR="00E1373D" w:rsidRPr="00C4385C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(5 puncte)</w:t>
            </w:r>
          </w:p>
        </w:tc>
      </w:tr>
      <w:tr w:rsidR="00E1373D" w:rsidRPr="00C4385C" w14:paraId="5FCA5A4A" w14:textId="77777777" w:rsidTr="00802D13">
        <w:trPr>
          <w:trHeight w:val="567"/>
        </w:trPr>
        <w:tc>
          <w:tcPr>
            <w:tcW w:w="2581" w:type="dxa"/>
            <w:vMerge/>
            <w:shd w:val="clear" w:color="auto" w:fill="auto"/>
          </w:tcPr>
          <w:p w14:paraId="18CEACB0" w14:textId="77777777" w:rsidR="00E1373D" w:rsidRPr="00C4385C" w:rsidRDefault="00E1373D" w:rsidP="00672E96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shd w:val="clear" w:color="auto" w:fill="auto"/>
          </w:tcPr>
          <w:p w14:paraId="4BC39003" w14:textId="20029B7A" w:rsidR="00E1373D" w:rsidRDefault="00E1373D" w:rsidP="00672E96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Bonus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prezentare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14:paraId="2878A626" w14:textId="4C323E78" w:rsidR="00E1373D" w:rsidRDefault="00E1373D" w:rsidP="00672E96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Participarea cu o prezentare individuala pe o tema data.</w:t>
            </w:r>
          </w:p>
        </w:tc>
        <w:tc>
          <w:tcPr>
            <w:tcW w:w="1695" w:type="dxa"/>
            <w:shd w:val="clear" w:color="auto" w:fill="auto"/>
          </w:tcPr>
          <w:p w14:paraId="0BEA2331" w14:textId="77777777" w:rsidR="00E1373D" w:rsidRPr="00E1373D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Bonus până la 20%</w:t>
            </w:r>
          </w:p>
          <w:p w14:paraId="378AB83A" w14:textId="3054BA09" w:rsidR="00E1373D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E1373D">
              <w:rPr>
                <w:rFonts w:asciiTheme="minorHAnsi" w:hAnsiTheme="minorHAnsi" w:cstheme="minorHAnsi"/>
                <w:lang w:val="ro-RO"/>
              </w:rPr>
              <w:t>(maximum 20 de puncte)</w:t>
            </w:r>
          </w:p>
        </w:tc>
      </w:tr>
      <w:tr w:rsidR="00672E96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4C79DFC6" w:rsidR="00672E96" w:rsidRPr="00C4385C" w:rsidRDefault="003174AB" w:rsidP="00672E96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9.2.</w:t>
            </w:r>
            <w:r w:rsidR="00672E96">
              <w:rPr>
                <w:rFonts w:asciiTheme="minorHAnsi" w:hAnsiTheme="minorHAnsi" w:cstheme="minorHAnsi"/>
                <w:lang w:val="ro-RO"/>
              </w:rPr>
              <w:t xml:space="preserve"> Standard minim de performanță</w:t>
            </w:r>
          </w:p>
        </w:tc>
      </w:tr>
      <w:tr w:rsidR="00672E96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680DBA7F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Nota finală se calculează prin însumarea punctelor obținute și transferul acestora în note, după cum urmează:</w:t>
            </w:r>
          </w:p>
          <w:p w14:paraId="71B8795E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Cel puțin 91 de puncte - 10</w:t>
            </w:r>
          </w:p>
          <w:p w14:paraId="4D15062E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Între 81 și 90 - 9</w:t>
            </w:r>
          </w:p>
          <w:p w14:paraId="3A9AF671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Între 71 și 80 - 8</w:t>
            </w:r>
          </w:p>
          <w:p w14:paraId="65ED1DD2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Între 61 și 70 - 7</w:t>
            </w:r>
          </w:p>
          <w:p w14:paraId="549DFA26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Între 51 și 60 - 6</w:t>
            </w:r>
          </w:p>
          <w:p w14:paraId="4B925D1E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Între 41 și 50 - 5</w:t>
            </w:r>
          </w:p>
          <w:p w14:paraId="490B3585" w14:textId="77777777" w:rsidR="00E1373D" w:rsidRPr="00C806FC" w:rsidRDefault="00E1373D" w:rsidP="00E1373D">
            <w:pPr>
              <w:pStyle w:val="NoSpacing"/>
              <w:rPr>
                <w:rFonts w:asciiTheme="minorHAnsi" w:hAnsiTheme="minorHAnsi" w:cstheme="minorHAnsi"/>
                <w:bCs/>
                <w:lang w:val="pt-BR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Cel mult 40 de puncte – 4</w:t>
            </w:r>
          </w:p>
          <w:p w14:paraId="63D51674" w14:textId="4E10FF30" w:rsidR="00672E96" w:rsidRPr="00C4385C" w:rsidRDefault="00E1373D" w:rsidP="00E1373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806FC">
              <w:rPr>
                <w:rFonts w:asciiTheme="minorHAnsi" w:hAnsiTheme="minorHAnsi" w:cstheme="minorHAnsi"/>
                <w:bCs/>
                <w:lang w:val="pt-BR"/>
              </w:rPr>
              <w:t>Bonusurile se acordă doar în sesiunile de examinare în care masterandul obține minimum 50 de puncte la sarcina principala.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D4241F2" w14:textId="31E8C28C" w:rsidR="00A976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3A44AB9C" w14:textId="2AF5DA78" w:rsidR="00056F89" w:rsidRDefault="00056F89" w:rsidP="00056F89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</w:t>
      </w:r>
      <w:r w:rsidR="00D5260C">
        <w:rPr>
          <w:rFonts w:asciiTheme="minorHAnsi" w:eastAsia="Calibri" w:hAnsiTheme="minorHAnsi" w:cstheme="minorHAnsi"/>
        </w:rPr>
        <w:t>6.09.202</w:t>
      </w:r>
      <w:r w:rsidR="00C806FC">
        <w:rPr>
          <w:rFonts w:asciiTheme="minorHAnsi" w:eastAsia="Calibri" w:hAnsiTheme="minorHAnsi" w:cstheme="minorHAnsi"/>
        </w:rPr>
        <w:t>3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Prof</w:t>
      </w:r>
      <w:r w:rsidR="00DE41F3">
        <w:rPr>
          <w:rFonts w:asciiTheme="minorHAnsi" w:eastAsia="Calibri" w:hAnsiTheme="minorHAnsi" w:cstheme="minorHAnsi"/>
        </w:rPr>
        <w:t>.</w:t>
      </w:r>
      <w:r>
        <w:rPr>
          <w:rFonts w:asciiTheme="minorHAnsi" w:eastAsia="Calibri" w:hAnsiTheme="minorHAnsi" w:cstheme="minorHAnsi"/>
        </w:rPr>
        <w:t xml:space="preserve"> Univ. Dr. Delia Vîrgă</w:t>
      </w:r>
    </w:p>
    <w:p w14:paraId="5C94F5E2" w14:textId="77777777" w:rsidR="005F6BF6" w:rsidRDefault="005F6BF6" w:rsidP="00A976F6">
      <w:pPr>
        <w:jc w:val="right"/>
        <w:rPr>
          <w:rFonts w:asciiTheme="minorHAnsi" w:eastAsia="Calibri" w:hAnsiTheme="minorHAnsi" w:cstheme="minorHAnsi"/>
        </w:rPr>
      </w:pPr>
    </w:p>
    <w:p w14:paraId="339B2856" w14:textId="31A9DAEB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5C404981" w14:textId="14705C8C" w:rsidR="00056F89" w:rsidRPr="00802D13" w:rsidRDefault="00056F89" w:rsidP="00056F89">
      <w:pPr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Prof</w:t>
      </w:r>
      <w:r w:rsidR="00DE41F3">
        <w:rPr>
          <w:rFonts w:asciiTheme="minorHAnsi" w:eastAsia="Calibri" w:hAnsiTheme="minorHAnsi" w:cstheme="minorHAnsi"/>
        </w:rPr>
        <w:t>.</w:t>
      </w:r>
      <w:r>
        <w:rPr>
          <w:rFonts w:asciiTheme="minorHAnsi" w:eastAsia="Calibri" w:hAnsiTheme="minorHAnsi" w:cstheme="minorHAnsi"/>
        </w:rPr>
        <w:t xml:space="preserve"> Univ. Dr. Delia Vîrgă</w:t>
      </w:r>
    </w:p>
    <w:sectPr w:rsidR="00056F89" w:rsidRPr="00802D13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F9AC1" w14:textId="77777777" w:rsidR="00C05268" w:rsidRDefault="00C05268" w:rsidP="003E226A">
      <w:r>
        <w:separator/>
      </w:r>
    </w:p>
  </w:endnote>
  <w:endnote w:type="continuationSeparator" w:id="0">
    <w:p w14:paraId="4299C45E" w14:textId="77777777" w:rsidR="00C05268" w:rsidRDefault="00C05268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8BAA0" w14:textId="77777777" w:rsidR="00C05268" w:rsidRDefault="00C05268" w:rsidP="003E226A">
      <w:r>
        <w:separator/>
      </w:r>
    </w:p>
  </w:footnote>
  <w:footnote w:type="continuationSeparator" w:id="0">
    <w:p w14:paraId="3CD4C074" w14:textId="77777777" w:rsidR="00C05268" w:rsidRDefault="00C05268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A3"/>
    <w:multiLevelType w:val="hybridMultilevel"/>
    <w:tmpl w:val="53E4A92C"/>
    <w:lvl w:ilvl="0" w:tplc="8E3C3C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B7627"/>
    <w:multiLevelType w:val="hybridMultilevel"/>
    <w:tmpl w:val="AA02B2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EF6965"/>
    <w:multiLevelType w:val="hybridMultilevel"/>
    <w:tmpl w:val="32FA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551A3"/>
    <w:multiLevelType w:val="hybridMultilevel"/>
    <w:tmpl w:val="1D6AD4DC"/>
    <w:lvl w:ilvl="0" w:tplc="95F084D4">
      <w:start w:val="1"/>
      <w:numFmt w:val="bullet"/>
      <w:lvlText w:val="-"/>
      <w:lvlJc w:val="left"/>
      <w:pPr>
        <w:ind w:left="17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F963E54">
      <w:start w:val="1"/>
      <w:numFmt w:val="bullet"/>
      <w:lvlText w:val="o"/>
      <w:lvlJc w:val="left"/>
      <w:pPr>
        <w:ind w:left="11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2863B2">
      <w:start w:val="1"/>
      <w:numFmt w:val="bullet"/>
      <w:lvlText w:val="▪"/>
      <w:lvlJc w:val="left"/>
      <w:pPr>
        <w:ind w:left="19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187868">
      <w:start w:val="1"/>
      <w:numFmt w:val="bullet"/>
      <w:lvlText w:val="•"/>
      <w:lvlJc w:val="left"/>
      <w:pPr>
        <w:ind w:left="26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AC9C72">
      <w:start w:val="1"/>
      <w:numFmt w:val="bullet"/>
      <w:lvlText w:val="o"/>
      <w:lvlJc w:val="left"/>
      <w:pPr>
        <w:ind w:left="335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C60E612">
      <w:start w:val="1"/>
      <w:numFmt w:val="bullet"/>
      <w:lvlText w:val="▪"/>
      <w:lvlJc w:val="left"/>
      <w:pPr>
        <w:ind w:left="40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2F85D4C">
      <w:start w:val="1"/>
      <w:numFmt w:val="bullet"/>
      <w:lvlText w:val="•"/>
      <w:lvlJc w:val="left"/>
      <w:pPr>
        <w:ind w:left="47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49CA116">
      <w:start w:val="1"/>
      <w:numFmt w:val="bullet"/>
      <w:lvlText w:val="o"/>
      <w:lvlJc w:val="left"/>
      <w:pPr>
        <w:ind w:left="55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16B20E">
      <w:start w:val="1"/>
      <w:numFmt w:val="bullet"/>
      <w:lvlText w:val="▪"/>
      <w:lvlJc w:val="left"/>
      <w:pPr>
        <w:ind w:left="62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15478"/>
    <w:multiLevelType w:val="hybridMultilevel"/>
    <w:tmpl w:val="476A3306"/>
    <w:lvl w:ilvl="0" w:tplc="5F56BF6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A342C"/>
    <w:multiLevelType w:val="hybridMultilevel"/>
    <w:tmpl w:val="08805C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483A58"/>
    <w:multiLevelType w:val="hybridMultilevel"/>
    <w:tmpl w:val="4CCE0E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17316"/>
    <w:multiLevelType w:val="hybridMultilevel"/>
    <w:tmpl w:val="7A7660C0"/>
    <w:lvl w:ilvl="0" w:tplc="56820E0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6571A4"/>
    <w:multiLevelType w:val="hybridMultilevel"/>
    <w:tmpl w:val="E2C2D94C"/>
    <w:lvl w:ilvl="0" w:tplc="C4C09F4C">
      <w:start w:val="1"/>
      <w:numFmt w:val="bullet"/>
      <w:lvlText w:val=""/>
      <w:lvlJc w:val="left"/>
      <w:pPr>
        <w:ind w:left="7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46A06E">
      <w:start w:val="1"/>
      <w:numFmt w:val="bullet"/>
      <w:lvlText w:val="o"/>
      <w:lvlJc w:val="left"/>
      <w:pPr>
        <w:ind w:left="1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5B41356">
      <w:start w:val="1"/>
      <w:numFmt w:val="bullet"/>
      <w:lvlText w:val="▪"/>
      <w:lvlJc w:val="left"/>
      <w:pPr>
        <w:ind w:left="2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B85A04">
      <w:start w:val="1"/>
      <w:numFmt w:val="bullet"/>
      <w:lvlText w:val="•"/>
      <w:lvlJc w:val="left"/>
      <w:pPr>
        <w:ind w:left="3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FA08BE">
      <w:start w:val="1"/>
      <w:numFmt w:val="bullet"/>
      <w:lvlText w:val="o"/>
      <w:lvlJc w:val="left"/>
      <w:pPr>
        <w:ind w:left="3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84021C">
      <w:start w:val="1"/>
      <w:numFmt w:val="bullet"/>
      <w:lvlText w:val="▪"/>
      <w:lvlJc w:val="left"/>
      <w:pPr>
        <w:ind w:left="4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6865E26">
      <w:start w:val="1"/>
      <w:numFmt w:val="bullet"/>
      <w:lvlText w:val="•"/>
      <w:lvlJc w:val="left"/>
      <w:pPr>
        <w:ind w:left="5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30FE64">
      <w:start w:val="1"/>
      <w:numFmt w:val="bullet"/>
      <w:lvlText w:val="o"/>
      <w:lvlJc w:val="left"/>
      <w:pPr>
        <w:ind w:left="5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DCCE0C">
      <w:start w:val="1"/>
      <w:numFmt w:val="bullet"/>
      <w:lvlText w:val="▪"/>
      <w:lvlJc w:val="left"/>
      <w:pPr>
        <w:ind w:left="6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0761346"/>
    <w:multiLevelType w:val="hybridMultilevel"/>
    <w:tmpl w:val="4852B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61817"/>
    <w:multiLevelType w:val="hybridMultilevel"/>
    <w:tmpl w:val="9B9C4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B7A33"/>
    <w:multiLevelType w:val="hybridMultilevel"/>
    <w:tmpl w:val="21D44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966914"/>
    <w:multiLevelType w:val="hybridMultilevel"/>
    <w:tmpl w:val="B9B046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709357">
    <w:abstractNumId w:val="34"/>
  </w:num>
  <w:num w:numId="2" w16cid:durableId="1685785648">
    <w:abstractNumId w:val="0"/>
  </w:num>
  <w:num w:numId="3" w16cid:durableId="102068599">
    <w:abstractNumId w:val="18"/>
  </w:num>
  <w:num w:numId="4" w16cid:durableId="1182208196">
    <w:abstractNumId w:val="10"/>
  </w:num>
  <w:num w:numId="5" w16cid:durableId="1590580535">
    <w:abstractNumId w:val="38"/>
  </w:num>
  <w:num w:numId="6" w16cid:durableId="831602309">
    <w:abstractNumId w:val="19"/>
  </w:num>
  <w:num w:numId="7" w16cid:durableId="1156336063">
    <w:abstractNumId w:val="12"/>
  </w:num>
  <w:num w:numId="8" w16cid:durableId="1371488542">
    <w:abstractNumId w:val="8"/>
  </w:num>
  <w:num w:numId="9" w16cid:durableId="1635597343">
    <w:abstractNumId w:val="28"/>
  </w:num>
  <w:num w:numId="10" w16cid:durableId="234049693">
    <w:abstractNumId w:val="24"/>
  </w:num>
  <w:num w:numId="11" w16cid:durableId="583076181">
    <w:abstractNumId w:val="22"/>
  </w:num>
  <w:num w:numId="12" w16cid:durableId="1073745955">
    <w:abstractNumId w:val="15"/>
  </w:num>
  <w:num w:numId="13" w16cid:durableId="290744383">
    <w:abstractNumId w:val="35"/>
  </w:num>
  <w:num w:numId="14" w16cid:durableId="531967282">
    <w:abstractNumId w:val="4"/>
  </w:num>
  <w:num w:numId="15" w16cid:durableId="432628494">
    <w:abstractNumId w:val="17"/>
  </w:num>
  <w:num w:numId="16" w16cid:durableId="1738429144">
    <w:abstractNumId w:val="30"/>
  </w:num>
  <w:num w:numId="17" w16cid:durableId="223495963">
    <w:abstractNumId w:val="40"/>
  </w:num>
  <w:num w:numId="18" w16cid:durableId="351760401">
    <w:abstractNumId w:val="13"/>
  </w:num>
  <w:num w:numId="19" w16cid:durableId="1804155480">
    <w:abstractNumId w:val="6"/>
  </w:num>
  <w:num w:numId="20" w16cid:durableId="776485721">
    <w:abstractNumId w:val="23"/>
  </w:num>
  <w:num w:numId="21" w16cid:durableId="1228879981">
    <w:abstractNumId w:val="33"/>
  </w:num>
  <w:num w:numId="22" w16cid:durableId="1575627351">
    <w:abstractNumId w:val="39"/>
  </w:num>
  <w:num w:numId="23" w16cid:durableId="1060327351">
    <w:abstractNumId w:val="27"/>
  </w:num>
  <w:num w:numId="24" w16cid:durableId="2106489640">
    <w:abstractNumId w:val="37"/>
  </w:num>
  <w:num w:numId="25" w16cid:durableId="1113397856">
    <w:abstractNumId w:val="41"/>
  </w:num>
  <w:num w:numId="26" w16cid:durableId="74016086">
    <w:abstractNumId w:val="3"/>
  </w:num>
  <w:num w:numId="27" w16cid:durableId="1409036597">
    <w:abstractNumId w:val="29"/>
  </w:num>
  <w:num w:numId="28" w16cid:durableId="1915384988">
    <w:abstractNumId w:val="31"/>
  </w:num>
  <w:num w:numId="29" w16cid:durableId="1953973284">
    <w:abstractNumId w:val="9"/>
  </w:num>
  <w:num w:numId="30" w16cid:durableId="1037315118">
    <w:abstractNumId w:val="1"/>
  </w:num>
  <w:num w:numId="31" w16cid:durableId="1853908530">
    <w:abstractNumId w:val="16"/>
  </w:num>
  <w:num w:numId="32" w16cid:durableId="1126697893">
    <w:abstractNumId w:val="20"/>
  </w:num>
  <w:num w:numId="33" w16cid:durableId="746223888">
    <w:abstractNumId w:val="26"/>
  </w:num>
  <w:num w:numId="34" w16cid:durableId="1579094129">
    <w:abstractNumId w:val="36"/>
  </w:num>
  <w:num w:numId="35" w16cid:durableId="1705325699">
    <w:abstractNumId w:val="21"/>
  </w:num>
  <w:num w:numId="36" w16cid:durableId="2116823949">
    <w:abstractNumId w:val="2"/>
  </w:num>
  <w:num w:numId="37" w16cid:durableId="1404373782">
    <w:abstractNumId w:val="5"/>
  </w:num>
  <w:num w:numId="38" w16cid:durableId="971179034">
    <w:abstractNumId w:val="25"/>
  </w:num>
  <w:num w:numId="39" w16cid:durableId="662782446">
    <w:abstractNumId w:val="32"/>
  </w:num>
  <w:num w:numId="40" w16cid:durableId="907619727">
    <w:abstractNumId w:val="11"/>
  </w:num>
  <w:num w:numId="41" w16cid:durableId="1228109594">
    <w:abstractNumId w:val="7"/>
  </w:num>
  <w:num w:numId="42" w16cid:durableId="47145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wMzU1MTQxNbcwMzJV0lEKTi0uzszPAykwqwUAxJTYSywAAAA="/>
  </w:docVars>
  <w:rsids>
    <w:rsidRoot w:val="00C81D57"/>
    <w:rsid w:val="00001FE1"/>
    <w:rsid w:val="00006384"/>
    <w:rsid w:val="00006A11"/>
    <w:rsid w:val="00013351"/>
    <w:rsid w:val="00017556"/>
    <w:rsid w:val="00027099"/>
    <w:rsid w:val="00041189"/>
    <w:rsid w:val="000415DE"/>
    <w:rsid w:val="00043DB9"/>
    <w:rsid w:val="000458CE"/>
    <w:rsid w:val="0004729D"/>
    <w:rsid w:val="0004779A"/>
    <w:rsid w:val="00050255"/>
    <w:rsid w:val="00050D48"/>
    <w:rsid w:val="00053D42"/>
    <w:rsid w:val="00055AEB"/>
    <w:rsid w:val="00056F89"/>
    <w:rsid w:val="00057048"/>
    <w:rsid w:val="000628E6"/>
    <w:rsid w:val="00070CEA"/>
    <w:rsid w:val="00072637"/>
    <w:rsid w:val="00073DE4"/>
    <w:rsid w:val="00073E3B"/>
    <w:rsid w:val="00095FBB"/>
    <w:rsid w:val="0009720E"/>
    <w:rsid w:val="000A33DD"/>
    <w:rsid w:val="000A4C02"/>
    <w:rsid w:val="000B0AC4"/>
    <w:rsid w:val="000B2657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26C19"/>
    <w:rsid w:val="00131150"/>
    <w:rsid w:val="00131523"/>
    <w:rsid w:val="00135E0B"/>
    <w:rsid w:val="001452D6"/>
    <w:rsid w:val="00145825"/>
    <w:rsid w:val="001568BE"/>
    <w:rsid w:val="001576EC"/>
    <w:rsid w:val="001649A6"/>
    <w:rsid w:val="00166724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2D8A"/>
    <w:rsid w:val="00205AE4"/>
    <w:rsid w:val="002151BA"/>
    <w:rsid w:val="00240491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9324A"/>
    <w:rsid w:val="002A007E"/>
    <w:rsid w:val="002A2C06"/>
    <w:rsid w:val="002A3C87"/>
    <w:rsid w:val="002B11E0"/>
    <w:rsid w:val="002B5461"/>
    <w:rsid w:val="002B6BDC"/>
    <w:rsid w:val="002B71D3"/>
    <w:rsid w:val="002C64E3"/>
    <w:rsid w:val="002D2F0E"/>
    <w:rsid w:val="002D3D67"/>
    <w:rsid w:val="002E0EBF"/>
    <w:rsid w:val="002E4EA3"/>
    <w:rsid w:val="002E60B7"/>
    <w:rsid w:val="003050F3"/>
    <w:rsid w:val="003147A3"/>
    <w:rsid w:val="003174AB"/>
    <w:rsid w:val="00323381"/>
    <w:rsid w:val="003245CA"/>
    <w:rsid w:val="00327663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368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55DC"/>
    <w:rsid w:val="004E651D"/>
    <w:rsid w:val="004F4E84"/>
    <w:rsid w:val="004F56A6"/>
    <w:rsid w:val="004F7D9A"/>
    <w:rsid w:val="005028ED"/>
    <w:rsid w:val="00502F1A"/>
    <w:rsid w:val="00503339"/>
    <w:rsid w:val="00503E4C"/>
    <w:rsid w:val="00507B53"/>
    <w:rsid w:val="00514EE5"/>
    <w:rsid w:val="0052502B"/>
    <w:rsid w:val="00533064"/>
    <w:rsid w:val="00541391"/>
    <w:rsid w:val="0054275A"/>
    <w:rsid w:val="0054438F"/>
    <w:rsid w:val="00546A4B"/>
    <w:rsid w:val="00551158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0AE7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344D"/>
    <w:rsid w:val="00645141"/>
    <w:rsid w:val="006454F6"/>
    <w:rsid w:val="00646201"/>
    <w:rsid w:val="00647AFB"/>
    <w:rsid w:val="00650125"/>
    <w:rsid w:val="006504DE"/>
    <w:rsid w:val="00650BD7"/>
    <w:rsid w:val="00655819"/>
    <w:rsid w:val="00664419"/>
    <w:rsid w:val="00664BDD"/>
    <w:rsid w:val="0066683F"/>
    <w:rsid w:val="00672E96"/>
    <w:rsid w:val="006776B9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0036"/>
    <w:rsid w:val="00775896"/>
    <w:rsid w:val="00783C4B"/>
    <w:rsid w:val="0078548B"/>
    <w:rsid w:val="00787E45"/>
    <w:rsid w:val="0079062A"/>
    <w:rsid w:val="00792DB3"/>
    <w:rsid w:val="007961CC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36886"/>
    <w:rsid w:val="00840B6C"/>
    <w:rsid w:val="00845050"/>
    <w:rsid w:val="00857CD1"/>
    <w:rsid w:val="0086401F"/>
    <w:rsid w:val="0086407E"/>
    <w:rsid w:val="00864695"/>
    <w:rsid w:val="00864858"/>
    <w:rsid w:val="0086507F"/>
    <w:rsid w:val="00867089"/>
    <w:rsid w:val="00875288"/>
    <w:rsid w:val="00880948"/>
    <w:rsid w:val="008810F8"/>
    <w:rsid w:val="00884B42"/>
    <w:rsid w:val="00886E5F"/>
    <w:rsid w:val="00892E0B"/>
    <w:rsid w:val="00893853"/>
    <w:rsid w:val="00895C2B"/>
    <w:rsid w:val="008B286B"/>
    <w:rsid w:val="008C1CCC"/>
    <w:rsid w:val="008C460E"/>
    <w:rsid w:val="008D0EB1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2FBA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976F6"/>
    <w:rsid w:val="00AB1520"/>
    <w:rsid w:val="00AB35C8"/>
    <w:rsid w:val="00AC1C05"/>
    <w:rsid w:val="00AC6D5B"/>
    <w:rsid w:val="00AC7C40"/>
    <w:rsid w:val="00AE0BA9"/>
    <w:rsid w:val="00AE1752"/>
    <w:rsid w:val="00B0274C"/>
    <w:rsid w:val="00B02961"/>
    <w:rsid w:val="00B1090A"/>
    <w:rsid w:val="00B177A0"/>
    <w:rsid w:val="00B2621D"/>
    <w:rsid w:val="00B338DA"/>
    <w:rsid w:val="00B4122C"/>
    <w:rsid w:val="00B447E7"/>
    <w:rsid w:val="00B45DA8"/>
    <w:rsid w:val="00B46A70"/>
    <w:rsid w:val="00B4785A"/>
    <w:rsid w:val="00B553C7"/>
    <w:rsid w:val="00B63DCA"/>
    <w:rsid w:val="00B66CD7"/>
    <w:rsid w:val="00B814D7"/>
    <w:rsid w:val="00B839FF"/>
    <w:rsid w:val="00B843A7"/>
    <w:rsid w:val="00BA67CE"/>
    <w:rsid w:val="00BB26E4"/>
    <w:rsid w:val="00BB4DB8"/>
    <w:rsid w:val="00BB53A1"/>
    <w:rsid w:val="00BC6EA0"/>
    <w:rsid w:val="00BD5423"/>
    <w:rsid w:val="00BF0AE6"/>
    <w:rsid w:val="00BF1DAB"/>
    <w:rsid w:val="00BF305D"/>
    <w:rsid w:val="00C05268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572CC"/>
    <w:rsid w:val="00C658F7"/>
    <w:rsid w:val="00C74CAB"/>
    <w:rsid w:val="00C768A1"/>
    <w:rsid w:val="00C77C0B"/>
    <w:rsid w:val="00C80177"/>
    <w:rsid w:val="00C806FC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260C"/>
    <w:rsid w:val="00D563C7"/>
    <w:rsid w:val="00D61E3A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E1594"/>
    <w:rsid w:val="00DE41F3"/>
    <w:rsid w:val="00DF6E13"/>
    <w:rsid w:val="00E0255D"/>
    <w:rsid w:val="00E03DFB"/>
    <w:rsid w:val="00E05920"/>
    <w:rsid w:val="00E110E7"/>
    <w:rsid w:val="00E1373D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24C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B53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table" w:customStyle="1" w:styleId="TableGrid0">
    <w:name w:val="TableGrid"/>
    <w:rsid w:val="00E110E7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3DC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4524C"/>
    <w:rPr>
      <w:sz w:val="16"/>
      <w:szCs w:val="16"/>
    </w:rPr>
  </w:style>
  <w:style w:type="paragraph" w:customStyle="1" w:styleId="EndNoteBibliography">
    <w:name w:val="EndNote Bibliography"/>
    <w:basedOn w:val="Normal"/>
    <w:link w:val="EndNoteBibliographyChar"/>
    <w:rsid w:val="00F4524C"/>
    <w:pPr>
      <w:spacing w:after="160"/>
    </w:pPr>
    <w:rPr>
      <w:rFonts w:ascii="Calibri" w:eastAsia="Calibri" w:hAnsi="Calibri"/>
      <w:noProof/>
      <w:sz w:val="20"/>
      <w:szCs w:val="20"/>
      <w:lang w:val="x-none" w:eastAsia="x-none"/>
    </w:rPr>
  </w:style>
  <w:style w:type="character" w:customStyle="1" w:styleId="EndNoteBibliographyChar">
    <w:name w:val="EndNote Bibliography Char"/>
    <w:link w:val="EndNoteBibliography"/>
    <w:rsid w:val="00F4524C"/>
    <w:rPr>
      <w:noProof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9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1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8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8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0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111/apps.12219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2146</Words>
  <Characters>12235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Delia Virga</cp:lastModifiedBy>
  <cp:revision>3</cp:revision>
  <cp:lastPrinted>2017-11-08T12:05:00Z</cp:lastPrinted>
  <dcterms:created xsi:type="dcterms:W3CDTF">2023-09-18T10:04:00Z</dcterms:created>
  <dcterms:modified xsi:type="dcterms:W3CDTF">2023-09-18T10:07:00Z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9b80f0848bca6dbb52878af22c1eab638c960273580e48bec5a0464450359985</vt:lpwstr>
  </property>
</Properties>
</file>