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6543" w14:textId="77777777" w:rsidR="008C0269" w:rsidRDefault="00000000">
      <w:pPr>
        <w:pStyle w:val="BodyA"/>
        <w:jc w:val="center"/>
        <w:rPr>
          <w:rStyle w:val="None"/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None"/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  <w:t>SYLLABUS</w:t>
      </w:r>
    </w:p>
    <w:p w14:paraId="51C79CF8" w14:textId="77777777" w:rsidR="008C0269" w:rsidRDefault="008C0269">
      <w:pPr>
        <w:pStyle w:val="BodyA"/>
        <w:jc w:val="center"/>
        <w:rPr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71DDCA01" w14:textId="77777777" w:rsidR="008C0269" w:rsidRDefault="008C0269">
      <w:pPr>
        <w:pStyle w:val="BodyA"/>
        <w:rPr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649B887D" w14:textId="77777777" w:rsidR="008C0269" w:rsidRDefault="00000000">
      <w:pPr>
        <w:pStyle w:val="ListParagraph"/>
        <w:numPr>
          <w:ilvl w:val="0"/>
          <w:numId w:val="2"/>
        </w:numPr>
        <w:spacing w:line="276" w:lineRule="auto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>Program details</w:t>
      </w:r>
    </w:p>
    <w:tbl>
      <w:tblPr>
        <w:tblW w:w="934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64"/>
        <w:gridCol w:w="5781"/>
      </w:tblGrid>
      <w:tr w:rsidR="008C0269" w14:paraId="04ABB204" w14:textId="77777777">
        <w:trPr>
          <w:trHeight w:val="25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014A1" w14:textId="77777777" w:rsidR="008C0269" w:rsidRDefault="00000000">
            <w:pPr>
              <w:pStyle w:val="NoSpacing"/>
              <w:numPr>
                <w:ilvl w:val="1"/>
                <w:numId w:val="4"/>
              </w:numPr>
              <w:spacing w:line="276" w:lineRule="auto"/>
              <w:rPr>
                <w:rFonts w:ascii="Trebuchet MS" w:hAnsi="Trebuchet MS"/>
              </w:rPr>
            </w:pPr>
            <w:r>
              <w:rPr>
                <w:rStyle w:val="None"/>
                <w:rFonts w:ascii="Trebuchet MS" w:hAnsi="Trebuchet MS"/>
              </w:rPr>
              <w:t>Higher education institution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2992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 xml:space="preserve">West University of </w:t>
            </w:r>
            <w:proofErr w:type="spellStart"/>
            <w:r>
              <w:rPr>
                <w:rStyle w:val="None"/>
              </w:rPr>
              <w:t>Timișoara</w:t>
            </w:r>
            <w:proofErr w:type="spellEnd"/>
          </w:p>
        </w:tc>
      </w:tr>
      <w:tr w:rsidR="008C0269" w14:paraId="614C5DF4" w14:textId="77777777">
        <w:trPr>
          <w:trHeight w:val="25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8ED30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1.2 Faculty / Department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2AF3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Faculty of Sociology and Psychology</w:t>
            </w:r>
          </w:p>
        </w:tc>
      </w:tr>
      <w:tr w:rsidR="008C0269" w14:paraId="10655D82" w14:textId="77777777">
        <w:trPr>
          <w:trHeight w:val="25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D43E4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1.3 Department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24B08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Psychology</w:t>
            </w:r>
          </w:p>
        </w:tc>
      </w:tr>
      <w:tr w:rsidR="008C0269" w14:paraId="3B682E63" w14:textId="77777777">
        <w:trPr>
          <w:trHeight w:val="25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F169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1.4 Field of study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A10ED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Psychology</w:t>
            </w:r>
          </w:p>
        </w:tc>
      </w:tr>
      <w:tr w:rsidR="008C0269" w14:paraId="13B38282" w14:textId="77777777">
        <w:trPr>
          <w:trHeight w:val="25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86116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1.5 Cycle of studies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49A7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BA</w:t>
            </w:r>
          </w:p>
        </w:tc>
      </w:tr>
      <w:tr w:rsidR="008C0269" w14:paraId="7B0BD963" w14:textId="77777777">
        <w:trPr>
          <w:trHeight w:val="251"/>
        </w:trPr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6BFF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1.6 Study program / Qualification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0D5F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Psychology-Cognitive Science</w:t>
            </w:r>
          </w:p>
        </w:tc>
      </w:tr>
    </w:tbl>
    <w:p w14:paraId="109FB00A" w14:textId="77777777" w:rsidR="008C0269" w:rsidRDefault="008C0269">
      <w:pPr>
        <w:pStyle w:val="ListParagraph"/>
        <w:widowControl w:val="0"/>
        <w:numPr>
          <w:ilvl w:val="0"/>
          <w:numId w:val="3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593139E3" w14:textId="77777777" w:rsidR="008C0269" w:rsidRDefault="008C0269">
      <w:pPr>
        <w:pStyle w:val="BodyA"/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50869387" w14:textId="77777777" w:rsidR="008C0269" w:rsidRDefault="008C0269">
      <w:pPr>
        <w:pStyle w:val="BodyA"/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55D6889E" w14:textId="77777777" w:rsidR="008C0269" w:rsidRDefault="00000000">
      <w:pPr>
        <w:pStyle w:val="ListParagraph"/>
        <w:numPr>
          <w:ilvl w:val="0"/>
          <w:numId w:val="5"/>
        </w:numPr>
        <w:spacing w:line="276" w:lineRule="auto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>Discipline details</w:t>
      </w:r>
    </w:p>
    <w:tbl>
      <w:tblPr>
        <w:tblW w:w="93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1651"/>
        <w:gridCol w:w="591"/>
        <w:gridCol w:w="1839"/>
        <w:gridCol w:w="630"/>
      </w:tblGrid>
      <w:tr w:rsidR="008C0269" w14:paraId="7819797B" w14:textId="77777777">
        <w:trPr>
          <w:trHeight w:val="251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08CA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2.1 Discipline name</w:t>
            </w:r>
          </w:p>
        </w:tc>
        <w:tc>
          <w:tcPr>
            <w:tcW w:w="5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1FCBC" w14:textId="77777777" w:rsidR="008C0269" w:rsidRDefault="00000000">
            <w:pPr>
              <w:pStyle w:val="BodyA"/>
              <w:spacing w:line="276" w:lineRule="auto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:shd w:val="clear" w:color="auto" w:fill="FFFFFF"/>
                <w:lang w:val="en-US"/>
              </w:rPr>
              <w:t>Logic and Scientific Reasoning</w:t>
            </w:r>
          </w:p>
        </w:tc>
      </w:tr>
      <w:tr w:rsidR="008C0269" w14:paraId="02A13B73" w14:textId="77777777">
        <w:trPr>
          <w:trHeight w:val="526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664F0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2.2 Tenured teacher - course activities</w:t>
            </w:r>
          </w:p>
        </w:tc>
        <w:tc>
          <w:tcPr>
            <w:tcW w:w="5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B0B68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Lect. univ. dr. Octavian </w:t>
            </w:r>
            <w:proofErr w:type="spellStart"/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Repolschi</w:t>
            </w:r>
            <w:proofErr w:type="spellEnd"/>
          </w:p>
        </w:tc>
      </w:tr>
      <w:tr w:rsidR="008C0269" w14:paraId="57ECC779" w14:textId="77777777">
        <w:trPr>
          <w:trHeight w:val="526"/>
        </w:trPr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253C3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2.3 Tenured teacher – seminar / laboratory activities</w:t>
            </w:r>
          </w:p>
        </w:tc>
        <w:tc>
          <w:tcPr>
            <w:tcW w:w="55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452E5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Lect. univ. dr. Octavian </w:t>
            </w:r>
            <w:proofErr w:type="spellStart"/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Repolschi</w:t>
            </w:r>
            <w:proofErr w:type="spellEnd"/>
          </w:p>
        </w:tc>
      </w:tr>
      <w:tr w:rsidR="008C0269" w14:paraId="3D6D77ED" w14:textId="77777777">
        <w:trPr>
          <w:trHeight w:val="52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5436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2.4 Study year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71A2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1st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841C6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2.5 Semester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00E51" w14:textId="77777777" w:rsidR="008C0269" w:rsidRDefault="00000000">
            <w:pPr>
              <w:pStyle w:val="Body"/>
              <w:spacing w:line="276" w:lineRule="auto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1F48B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2.6 Type of assessment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F5E67" w14:textId="77777777" w:rsidR="008C0269" w:rsidRDefault="00000000">
            <w:pPr>
              <w:pStyle w:val="Body"/>
              <w:spacing w:line="276" w:lineRule="auto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54A19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</w:rPr>
              <w:t>2.7 Discipline regime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848CC" w14:textId="77777777" w:rsidR="008C0269" w:rsidRDefault="00000000">
            <w:pPr>
              <w:pStyle w:val="Body"/>
              <w:spacing w:line="276" w:lineRule="auto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DS/DO</w:t>
            </w:r>
          </w:p>
        </w:tc>
      </w:tr>
    </w:tbl>
    <w:p w14:paraId="2B9E9352" w14:textId="77777777" w:rsidR="008C0269" w:rsidRDefault="008C0269">
      <w:pPr>
        <w:pStyle w:val="ListParagraph"/>
        <w:widowControl w:val="0"/>
        <w:numPr>
          <w:ilvl w:val="0"/>
          <w:numId w:val="3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7D866A8E" w14:textId="77777777" w:rsidR="008C0269" w:rsidRDefault="008C0269">
      <w:pPr>
        <w:pStyle w:val="ListParagraph"/>
        <w:widowControl w:val="0"/>
        <w:numPr>
          <w:ilvl w:val="0"/>
          <w:numId w:val="6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28B2CB83" w14:textId="77777777" w:rsidR="008C0269" w:rsidRDefault="008C0269">
      <w:pPr>
        <w:pStyle w:val="BodyA"/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6E36393A" w14:textId="77777777" w:rsidR="008C0269" w:rsidRDefault="008C0269">
      <w:pPr>
        <w:pStyle w:val="BodyA"/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313E61B4" w14:textId="77777777" w:rsidR="008C0269" w:rsidRDefault="00000000">
      <w:pPr>
        <w:pStyle w:val="ListParagraph"/>
        <w:numPr>
          <w:ilvl w:val="0"/>
          <w:numId w:val="7"/>
        </w:numPr>
        <w:spacing w:line="276" w:lineRule="auto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 xml:space="preserve">Estimated total time (hours per semester) of teaching </w:t>
      </w:r>
      <w:proofErr w:type="gramStart"/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>activities</w:t>
      </w:r>
      <w:proofErr w:type="gramEnd"/>
    </w:p>
    <w:tbl>
      <w:tblPr>
        <w:tblW w:w="934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579"/>
        <w:gridCol w:w="416"/>
        <w:gridCol w:w="291"/>
        <w:gridCol w:w="1645"/>
        <w:gridCol w:w="415"/>
        <w:gridCol w:w="2298"/>
        <w:gridCol w:w="705"/>
      </w:tblGrid>
      <w:tr w:rsidR="008C0269" w14:paraId="1557C75A" w14:textId="77777777">
        <w:trPr>
          <w:trHeight w:val="525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70524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3.1 Number of hours per week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D0C3E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BA262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Of which: 3.2 course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46D1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A920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3.3 seminar/laboratory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30B5D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  <w:tr w:rsidR="008C0269" w14:paraId="018F5AA0" w14:textId="77777777">
        <w:trPr>
          <w:trHeight w:val="525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795FE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3.4 Total hours from the curriculum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22A5B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42</w:t>
            </w:r>
          </w:p>
        </w:tc>
        <w:tc>
          <w:tcPr>
            <w:tcW w:w="1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FD346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Of which: 3.5 course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2C0D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BBFDF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3.6 seminar/laboratory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C9CFD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28</w:t>
            </w:r>
          </w:p>
        </w:tc>
      </w:tr>
      <w:tr w:rsidR="008C0269" w14:paraId="66781CC8" w14:textId="77777777">
        <w:trPr>
          <w:trHeight w:val="251"/>
        </w:trPr>
        <w:tc>
          <w:tcPr>
            <w:tcW w:w="8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44EE4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Time fund distribution: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6576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hours</w:t>
            </w:r>
          </w:p>
        </w:tc>
      </w:tr>
      <w:tr w:rsidR="008C0269" w14:paraId="56B9D5DE" w14:textId="77777777">
        <w:trPr>
          <w:trHeight w:val="251"/>
        </w:trPr>
        <w:tc>
          <w:tcPr>
            <w:tcW w:w="8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51859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Study based on the textbook, course material, bibliography, and notes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3D331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17</w:t>
            </w:r>
          </w:p>
        </w:tc>
      </w:tr>
      <w:tr w:rsidR="008C0269" w14:paraId="7E32FF4C" w14:textId="77777777">
        <w:trPr>
          <w:trHeight w:val="251"/>
        </w:trPr>
        <w:tc>
          <w:tcPr>
            <w:tcW w:w="8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E8209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Additional documentation in the library, on specialist electronic platforms / in the field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F6BB0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7</w:t>
            </w:r>
          </w:p>
        </w:tc>
      </w:tr>
      <w:tr w:rsidR="008C0269" w14:paraId="17386A4A" w14:textId="77777777">
        <w:trPr>
          <w:trHeight w:val="251"/>
        </w:trPr>
        <w:tc>
          <w:tcPr>
            <w:tcW w:w="8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907F1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Preparing seminars/labs, homework, papers, portfolios, and essays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24973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28</w:t>
            </w:r>
          </w:p>
        </w:tc>
      </w:tr>
      <w:tr w:rsidR="008C0269" w14:paraId="0C079DE8" w14:textId="77777777">
        <w:trPr>
          <w:trHeight w:val="251"/>
        </w:trPr>
        <w:tc>
          <w:tcPr>
            <w:tcW w:w="8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2647C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lastRenderedPageBreak/>
              <w:t xml:space="preserve">Tutoring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CD73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</w:tr>
      <w:tr w:rsidR="008C0269" w14:paraId="7D0EC7F0" w14:textId="77777777">
        <w:trPr>
          <w:trHeight w:val="251"/>
        </w:trPr>
        <w:tc>
          <w:tcPr>
            <w:tcW w:w="8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17AC4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 xml:space="preserve">Examinations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6E7F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</w:tr>
      <w:tr w:rsidR="008C0269" w14:paraId="5975B817" w14:textId="77777777">
        <w:trPr>
          <w:trHeight w:val="251"/>
        </w:trPr>
        <w:tc>
          <w:tcPr>
            <w:tcW w:w="86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93F2B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Other activities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92D8F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-</w:t>
            </w:r>
          </w:p>
        </w:tc>
      </w:tr>
      <w:tr w:rsidR="008C0269" w14:paraId="78B37D5E" w14:textId="77777777">
        <w:trPr>
          <w:trHeight w:val="305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42ED6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3.7 Total hours of individual study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9179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b/>
                <w:bCs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56</w:t>
            </w:r>
          </w:p>
        </w:tc>
        <w:tc>
          <w:tcPr>
            <w:tcW w:w="506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A9E9A" w14:textId="77777777" w:rsidR="008C0269" w:rsidRDefault="008C0269"/>
        </w:tc>
      </w:tr>
      <w:tr w:rsidR="008C0269" w14:paraId="5AA388E3" w14:textId="77777777">
        <w:trPr>
          <w:trHeight w:val="31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D7011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3.8 Total hours per semester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10BD4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b/>
                <w:bCs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100</w:t>
            </w:r>
          </w:p>
        </w:tc>
        <w:tc>
          <w:tcPr>
            <w:tcW w:w="506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F7AB7" w14:textId="77777777" w:rsidR="008C0269" w:rsidRDefault="008C0269"/>
        </w:tc>
      </w:tr>
      <w:tr w:rsidR="008C0269" w14:paraId="748387E0" w14:textId="77777777">
        <w:trPr>
          <w:trHeight w:val="310"/>
        </w:trPr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451B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3.9 Number of credits (ECTS)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F214" w14:textId="77777777" w:rsidR="008C0269" w:rsidRDefault="00000000">
            <w:pPr>
              <w:pStyle w:val="Body"/>
              <w:spacing w:line="276" w:lineRule="auto"/>
              <w:jc w:val="center"/>
            </w:pPr>
            <w:r>
              <w:rPr>
                <w:rStyle w:val="None"/>
                <w:b/>
                <w:bCs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  <w:tc>
          <w:tcPr>
            <w:tcW w:w="5063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B7DD" w14:textId="77777777" w:rsidR="008C0269" w:rsidRDefault="008C0269"/>
        </w:tc>
      </w:tr>
    </w:tbl>
    <w:p w14:paraId="7500A078" w14:textId="77777777" w:rsidR="008C0269" w:rsidRDefault="008C0269">
      <w:pPr>
        <w:pStyle w:val="ListParagraph"/>
        <w:widowControl w:val="0"/>
        <w:numPr>
          <w:ilvl w:val="0"/>
          <w:numId w:val="3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341924CA" w14:textId="77777777" w:rsidR="008C0269" w:rsidRDefault="008C0269">
      <w:pPr>
        <w:pStyle w:val="ListParagraph"/>
        <w:spacing w:line="276" w:lineRule="auto"/>
        <w:ind w:left="714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43A52356" w14:textId="77777777" w:rsidR="008C0269" w:rsidRDefault="008C0269">
      <w:pPr>
        <w:pStyle w:val="ListParagraph"/>
        <w:spacing w:line="276" w:lineRule="auto"/>
        <w:ind w:left="714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31497ECC" w14:textId="77777777" w:rsidR="008C0269" w:rsidRDefault="00000000">
      <w:pPr>
        <w:pStyle w:val="ListParagraph"/>
        <w:numPr>
          <w:ilvl w:val="0"/>
          <w:numId w:val="8"/>
        </w:numPr>
        <w:spacing w:line="276" w:lineRule="auto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>Prerequisites (where necessary)</w:t>
      </w:r>
    </w:p>
    <w:tbl>
      <w:tblPr>
        <w:tblW w:w="923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142"/>
        <w:gridCol w:w="7089"/>
      </w:tblGrid>
      <w:tr w:rsidR="008C0269" w14:paraId="303CB502" w14:textId="77777777">
        <w:trPr>
          <w:trHeight w:val="251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228CE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4.1 for curriculum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458BA" w14:textId="77777777" w:rsidR="008C0269" w:rsidRDefault="00000000">
            <w:pPr>
              <w:pStyle w:val="NoSpacing"/>
              <w:spacing w:line="276" w:lineRule="auto"/>
              <w:jc w:val="center"/>
            </w:pPr>
            <w:r>
              <w:rPr>
                <w:rStyle w:val="None"/>
                <w:rFonts w:ascii="Times New Roman" w:hAnsi="Times New Roman"/>
              </w:rPr>
              <w:t>-</w:t>
            </w:r>
          </w:p>
        </w:tc>
      </w:tr>
      <w:tr w:rsidR="008C0269" w14:paraId="75D0C461" w14:textId="77777777">
        <w:trPr>
          <w:trHeight w:val="525"/>
        </w:trPr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8D49C" w14:textId="77777777" w:rsidR="008C0269" w:rsidRDefault="00000000">
            <w:pPr>
              <w:pStyle w:val="NoSpacing"/>
              <w:spacing w:line="276" w:lineRule="auto"/>
            </w:pPr>
            <w:r>
              <w:rPr>
                <w:rStyle w:val="None"/>
                <w:rFonts w:ascii="Times New Roman" w:hAnsi="Times New Roman"/>
              </w:rPr>
              <w:t>4.2 for competencies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13812" w14:textId="77777777" w:rsidR="008C0269" w:rsidRDefault="00000000">
            <w:pPr>
              <w:pStyle w:val="NoSpacing"/>
              <w:spacing w:line="276" w:lineRule="auto"/>
              <w:jc w:val="center"/>
            </w:pPr>
            <w:r>
              <w:rPr>
                <w:rStyle w:val="None"/>
                <w:rFonts w:ascii="Times New Roman" w:hAnsi="Times New Roman"/>
              </w:rPr>
              <w:t>-</w:t>
            </w:r>
          </w:p>
        </w:tc>
      </w:tr>
    </w:tbl>
    <w:p w14:paraId="650AC621" w14:textId="77777777" w:rsidR="008C0269" w:rsidRDefault="008C0269">
      <w:pPr>
        <w:pStyle w:val="ListParagraph"/>
        <w:widowControl w:val="0"/>
        <w:numPr>
          <w:ilvl w:val="0"/>
          <w:numId w:val="3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695FDACB" w14:textId="77777777" w:rsidR="008C0269" w:rsidRDefault="008C0269">
      <w:pPr>
        <w:pStyle w:val="BodyA"/>
        <w:spacing w:line="276" w:lineRule="auto"/>
        <w:rPr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1D5992C9" w14:textId="77777777" w:rsidR="008C0269" w:rsidRDefault="008C0269">
      <w:pPr>
        <w:pStyle w:val="BodyA"/>
        <w:spacing w:line="276" w:lineRule="auto"/>
        <w:rPr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1060F839" w14:textId="77777777" w:rsidR="008C0269" w:rsidRDefault="00000000">
      <w:pPr>
        <w:pStyle w:val="ListParagraph"/>
        <w:numPr>
          <w:ilvl w:val="0"/>
          <w:numId w:val="9"/>
        </w:numPr>
        <w:spacing w:line="276" w:lineRule="auto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>Conditions (where necessary)</w:t>
      </w:r>
    </w:p>
    <w:tbl>
      <w:tblPr>
        <w:tblW w:w="93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65"/>
        <w:gridCol w:w="4824"/>
      </w:tblGrid>
      <w:tr w:rsidR="008C0269" w14:paraId="43F991C8" w14:textId="77777777">
        <w:trPr>
          <w:trHeight w:val="1450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F55F5" w14:textId="77777777" w:rsidR="008C0269" w:rsidRDefault="00000000">
            <w:pPr>
              <w:pStyle w:val="NoSpacing"/>
              <w:spacing w:line="360" w:lineRule="auto"/>
            </w:pPr>
            <w:r>
              <w:rPr>
                <w:rStyle w:val="None"/>
              </w:rPr>
              <w:t>5.1 for conducting the course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7B23" w14:textId="77777777" w:rsidR="008C0269" w:rsidRDefault="00000000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for face-to-face lectures: room with screen and video projector, </w:t>
            </w:r>
            <w:proofErr w:type="gramStart"/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laptop;</w:t>
            </w:r>
            <w:proofErr w:type="gramEnd"/>
          </w:p>
          <w:p w14:paraId="494DAD2E" w14:textId="77777777" w:rsidR="008C0269" w:rsidRDefault="00000000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for online lectures: laptop, internet access, access to Google Classroom, Google Meet, Google Forms; Classroom code: </w:t>
            </w:r>
            <w:proofErr w:type="spellStart"/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xgothhh</w:t>
            </w:r>
            <w:proofErr w:type="spellEnd"/>
          </w:p>
        </w:tc>
      </w:tr>
      <w:tr w:rsidR="008C0269" w14:paraId="7CD1FC65" w14:textId="77777777">
        <w:trPr>
          <w:trHeight w:val="1450"/>
        </w:trPr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A77DA" w14:textId="77777777" w:rsidR="008C0269" w:rsidRDefault="00000000">
            <w:pPr>
              <w:pStyle w:val="NoSpacing"/>
              <w:spacing w:line="360" w:lineRule="auto"/>
            </w:pPr>
            <w:r>
              <w:rPr>
                <w:rStyle w:val="None"/>
              </w:rPr>
              <w:t>5.2 for conducting the seminar/laboratory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4CA01" w14:textId="77777777" w:rsidR="008C0269" w:rsidRDefault="00000000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for face-to-face seminars: room with screen and video projector, </w:t>
            </w:r>
            <w:proofErr w:type="gramStart"/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laptop;</w:t>
            </w:r>
            <w:proofErr w:type="gramEnd"/>
          </w:p>
          <w:p w14:paraId="2FB639BE" w14:textId="77777777" w:rsidR="008C0269" w:rsidRDefault="00000000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 online seminars</w:t>
            </w:r>
            <w:r>
              <w:rPr>
                <w:rStyle w:val="None"/>
                <w:rFonts w:ascii="Trebuchet MS" w:hAnsi="Trebuchet MS"/>
                <w:lang w:val="it-I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: laptop, internet</w:t>
            </w:r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access</w:t>
            </w:r>
            <w:r>
              <w:rPr>
                <w:rStyle w:val="None"/>
                <w:rFonts w:ascii="Trebuchet MS" w:hAnsi="Trebuchet MS"/>
                <w:lang w:val="it-IT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access</w:t>
            </w:r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to Google Classroom, Google Meet, Google Forms; Classroom code: </w:t>
            </w:r>
            <w:proofErr w:type="spellStart"/>
            <w:r>
              <w:rPr>
                <w:rStyle w:val="None"/>
                <w:rFonts w:ascii="Trebuchet MS" w:hAnsi="Trebuchet MS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xgothhh</w:t>
            </w:r>
            <w:proofErr w:type="spellEnd"/>
          </w:p>
        </w:tc>
      </w:tr>
    </w:tbl>
    <w:p w14:paraId="1ECCAEBF" w14:textId="77777777" w:rsidR="008C0269" w:rsidRDefault="008C0269">
      <w:pPr>
        <w:pStyle w:val="ListParagraph"/>
        <w:widowControl w:val="0"/>
        <w:numPr>
          <w:ilvl w:val="0"/>
          <w:numId w:val="3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2D589933" w14:textId="77777777" w:rsidR="008C0269" w:rsidRDefault="008C0269">
      <w:pPr>
        <w:pStyle w:val="BodyA"/>
        <w:spacing w:line="276" w:lineRule="auto"/>
        <w:rPr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3AF9FBC4" w14:textId="77777777" w:rsidR="008C0269" w:rsidRDefault="008C0269">
      <w:pPr>
        <w:pStyle w:val="BodyA"/>
        <w:spacing w:line="276" w:lineRule="auto"/>
        <w:rPr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233C578F" w14:textId="77777777" w:rsidR="008C0269" w:rsidRDefault="00000000">
      <w:pPr>
        <w:pStyle w:val="ListParagraph"/>
        <w:numPr>
          <w:ilvl w:val="0"/>
          <w:numId w:val="12"/>
        </w:numPr>
        <w:spacing w:line="276" w:lineRule="auto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 xml:space="preserve">Discipline objectives - expected learning outcomes to which the discipline's study and promotion </w:t>
      </w:r>
      <w:proofErr w:type="gramStart"/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>contributes</w:t>
      </w:r>
      <w:proofErr w:type="gramEnd"/>
    </w:p>
    <w:tbl>
      <w:tblPr>
        <w:tblW w:w="93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88"/>
        <w:gridCol w:w="7901"/>
      </w:tblGrid>
      <w:tr w:rsidR="008C0269" w14:paraId="2348DBC6" w14:textId="77777777">
        <w:trPr>
          <w:trHeight w:val="145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7DC1E" w14:textId="77777777" w:rsidR="008C0269" w:rsidRDefault="00000000">
            <w:pPr>
              <w:pStyle w:val="NoSpacing"/>
            </w:pPr>
            <w:r>
              <w:rPr>
                <w:rStyle w:val="None"/>
                <w:rFonts w:ascii="Times New Roman" w:hAnsi="Times New Roman"/>
              </w:rPr>
              <w:lastRenderedPageBreak/>
              <w:t>Knowledge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5C91" w14:textId="77777777" w:rsidR="008C0269" w:rsidRDefault="00000000">
            <w:pPr>
              <w:pStyle w:val="TableStyle3A"/>
              <w:numPr>
                <w:ilvl w:val="0"/>
                <w:numId w:val="13"/>
              </w:numPr>
              <w:spacing w:line="240" w:lineRule="atLeast"/>
              <w:jc w:val="both"/>
              <w:rPr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identifies and describes the fundamental concepts and types of </w:t>
            </w:r>
            <w:proofErr w:type="gramStart"/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argumentation</w:t>
            </w:r>
            <w:proofErr w:type="gramEnd"/>
          </w:p>
          <w:p w14:paraId="271FEF35" w14:textId="77777777" w:rsidR="008C0269" w:rsidRDefault="00000000">
            <w:pPr>
              <w:pStyle w:val="TableStyle3A"/>
              <w:numPr>
                <w:ilvl w:val="0"/>
                <w:numId w:val="13"/>
              </w:numPr>
              <w:spacing w:line="240" w:lineRule="atLeast"/>
              <w:jc w:val="both"/>
              <w:rPr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identifies, analyzes and evaluates correctly the structures of argumentative </w:t>
            </w:r>
            <w:proofErr w:type="gramStart"/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texts;</w:t>
            </w:r>
            <w:proofErr w:type="gramEnd"/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0F289781" w14:textId="77777777" w:rsidR="008C0269" w:rsidRDefault="00000000">
            <w:pPr>
              <w:pStyle w:val="TableStyle3A"/>
              <w:numPr>
                <w:ilvl w:val="0"/>
                <w:numId w:val="13"/>
              </w:numPr>
              <w:spacing w:line="240" w:lineRule="atLeast"/>
              <w:jc w:val="both"/>
              <w:rPr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identifies and describes the concepts and fundamental elements of scientific reasoning</w:t>
            </w:r>
          </w:p>
        </w:tc>
      </w:tr>
      <w:tr w:rsidR="008C0269" w14:paraId="1A93EB00" w14:textId="77777777">
        <w:trPr>
          <w:trHeight w:val="145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3FF57" w14:textId="77777777" w:rsidR="008C0269" w:rsidRDefault="00000000">
            <w:pPr>
              <w:pStyle w:val="NoSpacing"/>
            </w:pPr>
            <w:r>
              <w:rPr>
                <w:rStyle w:val="None"/>
                <w:rFonts w:ascii="Times New Roman" w:hAnsi="Times New Roman"/>
              </w:rPr>
              <w:t>Skills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803A" w14:textId="77777777" w:rsidR="008C0269" w:rsidRDefault="00000000">
            <w:pPr>
              <w:pStyle w:val="TableStyle3A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produces valid arguments using argumentation and scientific reasoning to find solutions to various scientific </w:t>
            </w:r>
            <w:proofErr w:type="gramStart"/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problems</w:t>
            </w:r>
            <w:proofErr w:type="gramEnd"/>
          </w:p>
          <w:p w14:paraId="1FCEFFD2" w14:textId="77777777" w:rsidR="008C0269" w:rsidRDefault="00000000">
            <w:pPr>
              <w:pStyle w:val="TableStyle3A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critically builds new solutions based on a given set of arguments and </w:t>
            </w:r>
            <w:proofErr w:type="gramStart"/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data</w:t>
            </w:r>
            <w:proofErr w:type="gramEnd"/>
          </w:p>
          <w:p w14:paraId="6338F174" w14:textId="77777777" w:rsidR="008C0269" w:rsidRDefault="00000000">
            <w:pPr>
              <w:pStyle w:val="TableStyle3A"/>
              <w:numPr>
                <w:ilvl w:val="0"/>
                <w:numId w:val="14"/>
              </w:numPr>
              <w:spacing w:line="240" w:lineRule="atLeast"/>
              <w:jc w:val="both"/>
              <w:rPr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Style w:val="None"/>
                <w:rFonts w:ascii="Trebuchet MS" w:hAnsi="Trebuchet MS"/>
                <w:b w:val="0"/>
                <w:bCs w:val="0"/>
                <w:color w:val="000000"/>
                <w:sz w:val="22"/>
                <w:szCs w:val="22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formulates conclusions through analysis and logical evaluation to specific argumentative and/or scientific problems</w:t>
            </w:r>
          </w:p>
        </w:tc>
      </w:tr>
      <w:tr w:rsidR="008C0269" w14:paraId="3ABA00E7" w14:textId="77777777">
        <w:trPr>
          <w:trHeight w:val="145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1C24" w14:textId="77777777" w:rsidR="008C0269" w:rsidRDefault="00000000">
            <w:pPr>
              <w:pStyle w:val="NoSpacing"/>
            </w:pPr>
            <w:r>
              <w:rPr>
                <w:rStyle w:val="None"/>
                <w:rFonts w:ascii="Times New Roman" w:hAnsi="Times New Roman"/>
              </w:rPr>
              <w:t>Responsibility and autonomy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3734F" w14:textId="77777777" w:rsidR="008C0269" w:rsidRDefault="00000000">
            <w:pPr>
              <w:pStyle w:val="Body"/>
              <w:numPr>
                <w:ilvl w:val="0"/>
                <w:numId w:val="15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Style w:val="None"/>
                <w:rFonts w:ascii="Calibri" w:eastAsia="Calibri" w:hAnsi="Calibri" w:cs="Calibri"/>
                <w:sz w:val="22"/>
                <w:szCs w:val="22"/>
              </w:rPr>
              <w:t xml:space="preserve">accepts and tolerates different points of view in the process of </w:t>
            </w:r>
            <w:proofErr w:type="gramStart"/>
            <w:r>
              <w:rPr>
                <w:rStyle w:val="None"/>
                <w:rFonts w:ascii="Calibri" w:eastAsia="Calibri" w:hAnsi="Calibri" w:cs="Calibri"/>
                <w:sz w:val="22"/>
                <w:szCs w:val="22"/>
              </w:rPr>
              <w:t>argumentation</w:t>
            </w:r>
            <w:proofErr w:type="gramEnd"/>
          </w:p>
          <w:p w14:paraId="144B7C90" w14:textId="77777777" w:rsidR="008C0269" w:rsidRDefault="00000000">
            <w:pPr>
              <w:pStyle w:val="Body"/>
              <w:numPr>
                <w:ilvl w:val="0"/>
                <w:numId w:val="15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Style w:val="None"/>
                <w:rFonts w:ascii="Calibri" w:eastAsia="Calibri" w:hAnsi="Calibri" w:cs="Calibri"/>
                <w:sz w:val="22"/>
                <w:szCs w:val="22"/>
              </w:rPr>
              <w:t>supports different points of view using</w:t>
            </w:r>
            <w:r>
              <w:rPr>
                <w:rStyle w:val="None"/>
                <w:rFonts w:ascii="Calibri" w:eastAsia="Calibri" w:hAnsi="Calibri" w:cs="Calibri"/>
                <w:sz w:val="22"/>
                <w:szCs w:val="22"/>
                <w:lang w:val="fr-FR"/>
              </w:rPr>
              <w:t xml:space="preserve"> argumentation</w:t>
            </w:r>
            <w:r>
              <w:rPr>
                <w:rStyle w:val="None"/>
                <w:rFonts w:ascii="Calibri" w:eastAsia="Calibri" w:hAnsi="Calibri" w:cs="Calibri"/>
                <w:sz w:val="22"/>
                <w:szCs w:val="22"/>
              </w:rPr>
              <w:t xml:space="preserve"> and scientific </w:t>
            </w:r>
            <w:proofErr w:type="gramStart"/>
            <w:r>
              <w:rPr>
                <w:rStyle w:val="None"/>
                <w:rFonts w:ascii="Calibri" w:eastAsia="Calibri" w:hAnsi="Calibri" w:cs="Calibri"/>
                <w:sz w:val="22"/>
                <w:szCs w:val="22"/>
              </w:rPr>
              <w:t>reasoning</w:t>
            </w:r>
            <w:proofErr w:type="gramEnd"/>
          </w:p>
          <w:p w14:paraId="2EF65224" w14:textId="77777777" w:rsidR="008C0269" w:rsidRDefault="00000000">
            <w:pPr>
              <w:pStyle w:val="Body"/>
              <w:numPr>
                <w:ilvl w:val="0"/>
                <w:numId w:val="15"/>
              </w:num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Style w:val="None"/>
                <w:rFonts w:ascii="Calibri" w:eastAsia="Calibri" w:hAnsi="Calibri" w:cs="Calibri"/>
                <w:sz w:val="22"/>
                <w:szCs w:val="22"/>
              </w:rPr>
              <w:t>responsibly expresses one's own points of view in an argumentative and/or a scientific context</w:t>
            </w:r>
          </w:p>
        </w:tc>
      </w:tr>
    </w:tbl>
    <w:p w14:paraId="0CC15EE2" w14:textId="77777777" w:rsidR="008C0269" w:rsidRDefault="008C0269">
      <w:pPr>
        <w:pStyle w:val="ListParagraph"/>
        <w:widowControl w:val="0"/>
        <w:numPr>
          <w:ilvl w:val="0"/>
          <w:numId w:val="3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7161CA15" w14:textId="77777777" w:rsidR="008C0269" w:rsidRDefault="008C0269">
      <w:pPr>
        <w:pStyle w:val="Body"/>
        <w:widowControl w:val="0"/>
        <w:rPr>
          <w:sz w:val="26"/>
          <w:szCs w:val="26"/>
        </w:rPr>
      </w:pPr>
    </w:p>
    <w:p w14:paraId="4F927A7E" w14:textId="77777777" w:rsidR="008C0269" w:rsidRDefault="008C0269">
      <w:pPr>
        <w:pStyle w:val="BodyA"/>
        <w:spacing w:line="276" w:lineRule="auto"/>
        <w:rPr>
          <w:b/>
          <w:bCs/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41721F25" w14:textId="77777777" w:rsidR="008C0269" w:rsidRDefault="00000000">
      <w:pPr>
        <w:pStyle w:val="ListParagraph"/>
        <w:numPr>
          <w:ilvl w:val="0"/>
          <w:numId w:val="16"/>
        </w:numPr>
        <w:spacing w:line="276" w:lineRule="auto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 xml:space="preserve">Contents </w:t>
      </w:r>
    </w:p>
    <w:tbl>
      <w:tblPr>
        <w:tblW w:w="93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77"/>
        <w:gridCol w:w="4206"/>
        <w:gridCol w:w="1256"/>
      </w:tblGrid>
      <w:tr w:rsidR="008C0269" w14:paraId="3B10735E" w14:textId="77777777">
        <w:trPr>
          <w:trHeight w:val="49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B372" w14:textId="77777777" w:rsidR="008C0269" w:rsidRDefault="00000000">
            <w:pPr>
              <w:pStyle w:val="BodyA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:lang w:val="en-US"/>
              </w:rPr>
              <w:t>7.1 Course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DF08E" w14:textId="77777777" w:rsidR="008C0269" w:rsidRDefault="00000000">
            <w:pPr>
              <w:pStyle w:val="BodyA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:lang w:val="en-US"/>
              </w:rPr>
              <w:t>Teaching methods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2771D" w14:textId="77777777" w:rsidR="008C0269" w:rsidRDefault="00000000">
            <w:pPr>
              <w:pStyle w:val="BodyA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:lang w:val="en-US"/>
              </w:rPr>
              <w:t>Observations</w:t>
            </w:r>
          </w:p>
        </w:tc>
      </w:tr>
      <w:tr w:rsidR="008C0269" w14:paraId="6302930E" w14:textId="77777777">
        <w:trPr>
          <w:trHeight w:val="193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6C334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Introduction to Logic and Scientific Reasoning. Reasoning and Argumentation: Deductive, Inductive and Abductive Reasoning. Identifying the structure of an argument. Evaluation of arguments: premises, conclusion, assumptions. Toulmin model.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6480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Interactive lecture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6EB4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 h</w:t>
            </w:r>
          </w:p>
        </w:tc>
      </w:tr>
      <w:tr w:rsidR="008C0269" w14:paraId="11493E4D" w14:textId="77777777">
        <w:trPr>
          <w:trHeight w:val="97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06B9B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Deductive Reasoning. Propositional Logic. Syntax and Semantics of Propositional Logic. Validity and invalidity.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D17B6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Interactive lecture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38B71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2h</w:t>
            </w:r>
          </w:p>
        </w:tc>
      </w:tr>
      <w:tr w:rsidR="008C0269" w14:paraId="37290C9C" w14:textId="77777777">
        <w:trPr>
          <w:trHeight w:val="97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D80E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Deductive Reasoning. Predicate Logic. Syntax and Semantics of Predicate Logic. Validity and invalidity.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860E2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Interactive lecture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A91A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 h</w:t>
            </w:r>
          </w:p>
        </w:tc>
      </w:tr>
      <w:tr w:rsidR="008C0269" w14:paraId="0D9A74B2" w14:textId="77777777">
        <w:trPr>
          <w:trHeight w:val="97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7F0F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Inductive logic. Inductive Generalizations. Analogical Reasoning. Analogy and Similarity. Analysis and Evaluation.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839BD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Interactive lecture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BF8F3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 h</w:t>
            </w:r>
          </w:p>
        </w:tc>
      </w:tr>
      <w:tr w:rsidR="008C0269" w14:paraId="37406618" w14:textId="77777777">
        <w:trPr>
          <w:trHeight w:val="97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9226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Statistical Reasoning. Logic and Statistics. Statistical Generalization. Correlation and Causality. Evaluating Correlations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2B292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Interactive lecture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3AC5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 h</w:t>
            </w:r>
          </w:p>
        </w:tc>
      </w:tr>
      <w:tr w:rsidR="008C0269" w14:paraId="61B2B3E2" w14:textId="77777777">
        <w:trPr>
          <w:trHeight w:val="73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967FB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Explanation. Adequacy of </w:t>
            </w:r>
            <w:proofErr w:type="spellStart"/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Hypothesis.Testing</w:t>
            </w:r>
            <w:proofErr w:type="spellEnd"/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Hypothesis. </w:t>
            </w:r>
            <w:proofErr w:type="spellStart"/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Plausability</w:t>
            </w:r>
            <w:proofErr w:type="spellEnd"/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6EA0A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Interactive lecture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6404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2h</w:t>
            </w:r>
          </w:p>
        </w:tc>
      </w:tr>
      <w:tr w:rsidR="008C0269" w14:paraId="339E4B5C" w14:textId="77777777">
        <w:trPr>
          <w:trHeight w:val="97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BDB6A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Scientific Reasoning. Probability. Elementary Probability Ideas. Conditional Probability. Bayes’ Rule. The Bayesian Approach.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D4415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Interactive lecture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9938C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2h</w:t>
            </w:r>
          </w:p>
        </w:tc>
      </w:tr>
      <w:tr w:rsidR="008C0269" w14:paraId="1ED2A123" w14:textId="77777777">
        <w:trPr>
          <w:trHeight w:val="10810"/>
        </w:trPr>
        <w:tc>
          <w:tcPr>
            <w:tcW w:w="9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D8AB" w14:textId="77777777" w:rsidR="008C0269" w:rsidRDefault="00000000">
            <w:pPr>
              <w:pStyle w:val="NoSpacing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lastRenderedPageBreak/>
              <w:t>References:</w:t>
            </w:r>
          </w:p>
          <w:p w14:paraId="402E0691" w14:textId="77777777" w:rsidR="008C0269" w:rsidRDefault="008C0269">
            <w:pPr>
              <w:pStyle w:val="NoSpacing"/>
              <w:rPr>
                <w:rStyle w:val="None"/>
                <w:rFonts w:ascii="Trebuchet MS" w:eastAsia="Trebuchet MS" w:hAnsi="Trebuchet MS" w:cs="Trebuchet MS"/>
              </w:rPr>
            </w:pPr>
          </w:p>
          <w:p w14:paraId="40BEB87A" w14:textId="77777777" w:rsidR="008C0269" w:rsidRDefault="00000000">
            <w:pPr>
              <w:pStyle w:val="Default"/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Style w:val="None"/>
                <w:rFonts w:ascii="Trebuchet MS" w:hAnsi="Trebuchet MS"/>
              </w:rPr>
              <w:t>Aliseda</w:t>
            </w:r>
            <w:proofErr w:type="spellEnd"/>
            <w:r>
              <w:rPr>
                <w:rStyle w:val="None"/>
                <w:rFonts w:ascii="Trebuchet MS" w:hAnsi="Trebuchet MS"/>
              </w:rPr>
              <w:t xml:space="preserve">, Atocha. 2006. </w:t>
            </w:r>
            <w:r>
              <w:rPr>
                <w:rStyle w:val="None"/>
                <w:rFonts w:ascii="Trebuchet MS" w:hAnsi="Trebuchet MS"/>
                <w:i/>
                <w:iCs/>
              </w:rPr>
              <w:t xml:space="preserve">Abductive Reasoning. Logical </w:t>
            </w:r>
            <w:proofErr w:type="spellStart"/>
            <w:r>
              <w:rPr>
                <w:rStyle w:val="None"/>
                <w:rFonts w:ascii="Trebuchet MS" w:hAnsi="Trebuchet MS"/>
                <w:i/>
                <w:iCs/>
              </w:rPr>
              <w:t>Invesigations</w:t>
            </w:r>
            <w:proofErr w:type="spellEnd"/>
            <w:r>
              <w:rPr>
                <w:rStyle w:val="None"/>
                <w:rFonts w:ascii="Trebuchet MS" w:hAnsi="Trebuchet MS"/>
                <w:i/>
                <w:iCs/>
              </w:rPr>
              <w:t xml:space="preserve"> into Discovery and Explanation. </w:t>
            </w:r>
            <w:proofErr w:type="spellStart"/>
            <w:r>
              <w:rPr>
                <w:rStyle w:val="None"/>
                <w:rFonts w:ascii="Trebuchet MS" w:hAnsi="Trebuchet MS"/>
              </w:rPr>
              <w:t>Dodrecht</w:t>
            </w:r>
            <w:proofErr w:type="spellEnd"/>
            <w:r>
              <w:rPr>
                <w:rStyle w:val="None"/>
                <w:rFonts w:ascii="Trebuchet MS" w:hAnsi="Trebuchet MS"/>
              </w:rPr>
              <w:t>: Springer.</w:t>
            </w:r>
          </w:p>
          <w:p w14:paraId="6FB7E4F4" w14:textId="77777777" w:rsidR="008C0269" w:rsidRDefault="00000000">
            <w:pPr>
              <w:pStyle w:val="Default"/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Besnard, Philippe and Anthony Hunter. 2008. </w:t>
            </w:r>
            <w:r>
              <w:rPr>
                <w:rStyle w:val="None"/>
                <w:rFonts w:ascii="Trebuchet MS" w:hAnsi="Trebuchet MS"/>
                <w:i/>
                <w:iCs/>
              </w:rPr>
              <w:t>Elements of Argumentation</w:t>
            </w:r>
            <w:r>
              <w:rPr>
                <w:rStyle w:val="None"/>
                <w:rFonts w:ascii="Trebuchet MS" w:hAnsi="Trebuchet MS"/>
              </w:rPr>
              <w:t>. Cambridge, MA, London: The MIT Press.</w:t>
            </w:r>
          </w:p>
          <w:p w14:paraId="7CD74D2A" w14:textId="77777777" w:rsidR="008C0269" w:rsidRDefault="00000000">
            <w:pPr>
              <w:pStyle w:val="Default"/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Style w:val="None"/>
                <w:rFonts w:ascii="Trebuchet MS" w:hAnsi="Trebuchet MS"/>
              </w:rPr>
              <w:t>Boolos</w:t>
            </w:r>
            <w:proofErr w:type="spellEnd"/>
            <w:r>
              <w:rPr>
                <w:rStyle w:val="None"/>
                <w:rFonts w:ascii="Trebuchet MS" w:hAnsi="Trebuchet MS"/>
              </w:rPr>
              <w:t xml:space="preserve">, G., J. Burgess, and R. Jeffrey. 2002. </w:t>
            </w:r>
            <w:r>
              <w:rPr>
                <w:rStyle w:val="None"/>
                <w:rFonts w:ascii="Trebuchet MS" w:hAnsi="Trebuchet MS"/>
                <w:i/>
                <w:iCs/>
              </w:rPr>
              <w:t>Computability and Logic.</w:t>
            </w:r>
            <w:r>
              <w:rPr>
                <w:rStyle w:val="None"/>
                <w:rFonts w:ascii="Trebuchet MS" w:hAnsi="Trebuchet MS"/>
              </w:rPr>
              <w:t xml:space="preserve"> Cambridge: Cambridge University Press.</w:t>
            </w:r>
          </w:p>
          <w:p w14:paraId="6AB82D15" w14:textId="77777777" w:rsidR="008C0269" w:rsidRDefault="00000000">
            <w:pPr>
              <w:pStyle w:val="Default"/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Browne, M. Neil, and Stuart M. Keeley. 2007. </w:t>
            </w:r>
            <w:r>
              <w:rPr>
                <w:rStyle w:val="None"/>
                <w:rFonts w:ascii="Trebuchet MS" w:hAnsi="Trebuchet MS"/>
                <w:i/>
                <w:iCs/>
              </w:rPr>
              <w:t>Asking the Right Questions. A Guide to Critical Thinking</w:t>
            </w:r>
            <w:r>
              <w:rPr>
                <w:rStyle w:val="None"/>
                <w:rFonts w:ascii="Trebuchet MS" w:hAnsi="Trebuchet MS"/>
              </w:rPr>
              <w:t xml:space="preserve">. Eight Edition. Upper Saddle River, NJ: </w:t>
            </w:r>
            <w:proofErr w:type="spellStart"/>
            <w:r>
              <w:rPr>
                <w:rStyle w:val="None"/>
                <w:rFonts w:ascii="Trebuchet MS" w:hAnsi="Trebuchet MS"/>
              </w:rPr>
              <w:t>Paerson</w:t>
            </w:r>
            <w:proofErr w:type="spellEnd"/>
            <w:r>
              <w:rPr>
                <w:rStyle w:val="None"/>
                <w:rFonts w:ascii="Trebuchet MS" w:hAnsi="Trebuchet MS"/>
              </w:rPr>
              <w:t xml:space="preserve"> Prentice Hall.</w:t>
            </w:r>
          </w:p>
          <w:p w14:paraId="36A65CF7" w14:textId="77777777" w:rsidR="008C0269" w:rsidRDefault="00000000">
            <w:pPr>
              <w:pStyle w:val="Default"/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Cottrell, Stela. 2005. </w:t>
            </w:r>
            <w:r>
              <w:rPr>
                <w:rStyle w:val="None"/>
                <w:rFonts w:ascii="Trebuchet MS" w:hAnsi="Trebuchet MS"/>
                <w:i/>
                <w:iCs/>
              </w:rPr>
              <w:t xml:space="preserve">Critical Thinking Skills. Developing Effective Analysis and Argumentation. </w:t>
            </w:r>
            <w:r>
              <w:rPr>
                <w:rStyle w:val="None"/>
                <w:rFonts w:ascii="Trebuchet MS" w:hAnsi="Trebuchet MS"/>
              </w:rPr>
              <w:t>New York: Palgrave MacMillan.</w:t>
            </w:r>
          </w:p>
          <w:p w14:paraId="27493D82" w14:textId="77777777" w:rsidR="008C0269" w:rsidRDefault="00000000">
            <w:pPr>
              <w:pStyle w:val="Default"/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proofErr w:type="spellStart"/>
            <w:r>
              <w:rPr>
                <w:rStyle w:val="None"/>
                <w:rFonts w:ascii="Trebuchet MS" w:hAnsi="Trebuchet MS"/>
              </w:rPr>
              <w:t>Eemeren</w:t>
            </w:r>
            <w:proofErr w:type="spellEnd"/>
            <w:r>
              <w:rPr>
                <w:rStyle w:val="None"/>
                <w:rFonts w:ascii="Trebuchet MS" w:hAnsi="Trebuchet MS"/>
              </w:rPr>
              <w:t xml:space="preserve">, Frans H. van, Rob Grootendorst. 2004. </w:t>
            </w:r>
            <w:r>
              <w:rPr>
                <w:rStyle w:val="None"/>
                <w:rFonts w:ascii="Trebuchet MS" w:hAnsi="Trebuchet MS"/>
                <w:i/>
                <w:iCs/>
              </w:rPr>
              <w:t>A Systematic Theory of Argumentation</w:t>
            </w:r>
            <w:r>
              <w:rPr>
                <w:rStyle w:val="None"/>
                <w:rFonts w:ascii="Trebuchet MS" w:hAnsi="Trebuchet MS"/>
              </w:rPr>
              <w:t xml:space="preserve">. </w:t>
            </w:r>
            <w:r>
              <w:rPr>
                <w:rStyle w:val="None"/>
                <w:rFonts w:ascii="Trebuchet MS" w:hAnsi="Trebuchet MS"/>
                <w:i/>
                <w:iCs/>
              </w:rPr>
              <w:t>A pragma-dialectical approach</w:t>
            </w:r>
            <w:r>
              <w:rPr>
                <w:rStyle w:val="None"/>
                <w:rFonts w:ascii="Trebuchet MS" w:hAnsi="Trebuchet MS"/>
              </w:rPr>
              <w:t>. Cambridge, New York, Madrid, Cape Town, Singapore, São Paulo: Cambridge University Press.</w:t>
            </w:r>
          </w:p>
          <w:p w14:paraId="3FC96C88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Hacking, Ian. 2001. </w:t>
            </w:r>
            <w:r>
              <w:rPr>
                <w:rStyle w:val="None"/>
                <w:rFonts w:ascii="Trebuchet MS" w:hAnsi="Trebuchet MS"/>
                <w:i/>
                <w:iCs/>
              </w:rPr>
              <w:t>An Introduction to Probability and Inductive Logic.</w:t>
            </w:r>
            <w:r>
              <w:rPr>
                <w:rStyle w:val="None"/>
                <w:rFonts w:ascii="Trebuchet MS" w:hAnsi="Trebuchet MS"/>
              </w:rPr>
              <w:t xml:space="preserve"> New York: Cambridge University Press.</w:t>
            </w:r>
          </w:p>
          <w:p w14:paraId="2D55821D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Halpern, F. Diane. 2003. </w:t>
            </w:r>
            <w:r>
              <w:rPr>
                <w:rStyle w:val="None"/>
                <w:rFonts w:ascii="Trebuchet MS" w:hAnsi="Trebuchet MS"/>
                <w:i/>
                <w:iCs/>
              </w:rPr>
              <w:t>Thought &amp; Knowledge: An Introduction to Critical Thinking</w:t>
            </w:r>
            <w:r>
              <w:rPr>
                <w:rStyle w:val="None"/>
                <w:rFonts w:ascii="Trebuchet MS" w:hAnsi="Trebuchet MS"/>
              </w:rPr>
              <w:t>. Mahwah, NJ, London: Lawrence Erlbaum Associates, Publishers.</w:t>
            </w:r>
          </w:p>
          <w:p w14:paraId="446D4ACE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  <w:i/>
                <w:iCs/>
              </w:rPr>
            </w:pPr>
            <w:r>
              <w:rPr>
                <w:rStyle w:val="None"/>
                <w:rFonts w:ascii="Trebuchet MS" w:hAnsi="Trebuchet MS"/>
              </w:rPr>
              <w:t xml:space="preserve">Howson, </w:t>
            </w:r>
            <w:proofErr w:type="gramStart"/>
            <w:r>
              <w:rPr>
                <w:rStyle w:val="None"/>
                <w:rFonts w:ascii="Trebuchet MS" w:hAnsi="Trebuchet MS"/>
              </w:rPr>
              <w:t>Colin</w:t>
            </w:r>
            <w:proofErr w:type="gramEnd"/>
            <w:r>
              <w:rPr>
                <w:rStyle w:val="None"/>
                <w:rFonts w:ascii="Trebuchet MS" w:hAnsi="Trebuchet MS"/>
              </w:rPr>
              <w:t xml:space="preserve"> and Peter Urbach. 2006. </w:t>
            </w:r>
            <w:r>
              <w:rPr>
                <w:rStyle w:val="None"/>
                <w:rFonts w:ascii="Trebuchet MS" w:hAnsi="Trebuchet MS"/>
                <w:i/>
                <w:iCs/>
              </w:rPr>
              <w:t xml:space="preserve">Scientific Reasoning: The Bayesian Approach. </w:t>
            </w:r>
            <w:r>
              <w:rPr>
                <w:rStyle w:val="None"/>
                <w:rFonts w:ascii="Trebuchet MS" w:hAnsi="Trebuchet MS"/>
              </w:rPr>
              <w:t>Third Edition. Chicago and La Salle, Illinois: Open Court.</w:t>
            </w:r>
          </w:p>
          <w:p w14:paraId="2FDBAA7C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Hurley, J. Patrick, Lori Watson. 2018. </w:t>
            </w:r>
            <w:r>
              <w:rPr>
                <w:rStyle w:val="None"/>
                <w:rFonts w:ascii="Trebuchet MS" w:hAnsi="Trebuchet MS"/>
                <w:i/>
                <w:iCs/>
              </w:rPr>
              <w:t>A Concise Introduction to Logic</w:t>
            </w:r>
            <w:r>
              <w:rPr>
                <w:rStyle w:val="None"/>
                <w:rFonts w:ascii="Trebuchet MS" w:hAnsi="Trebuchet MS"/>
              </w:rPr>
              <w:t>. Thirteenth Edition. Australia, Brazil, Mexico, Singapore, United Kingdom, United States: Cengage Learning.</w:t>
            </w:r>
          </w:p>
          <w:p w14:paraId="1928353C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Jaynes, E. T. 2003 </w:t>
            </w:r>
            <w:r>
              <w:rPr>
                <w:rStyle w:val="None"/>
                <w:rFonts w:ascii="Trebuchet MS" w:hAnsi="Trebuchet MS"/>
                <w:i/>
                <w:iCs/>
              </w:rPr>
              <w:t>Probability Theory: The Logic of Science</w:t>
            </w:r>
            <w:r>
              <w:rPr>
                <w:rStyle w:val="None"/>
                <w:rFonts w:ascii="Trebuchet MS" w:hAnsi="Trebuchet MS"/>
              </w:rPr>
              <w:t>. Cambridge, New York, Melbourne, Madrid, Cape Town, Singapore, São Paulo: Cambridge University Press.</w:t>
            </w:r>
          </w:p>
          <w:p w14:paraId="368EFEA3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Style w:val="None"/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Kelley, David. 2014. </w:t>
            </w:r>
            <w:r>
              <w:rPr>
                <w:rStyle w:val="None"/>
                <w:rFonts w:ascii="Trebuchet MS" w:hAnsi="Trebuchet MS"/>
                <w:i/>
                <w:iCs/>
              </w:rPr>
              <w:t>The Art of Reasoning. An Introduction to Logic and Critical Thinking</w:t>
            </w:r>
            <w:r>
              <w:rPr>
                <w:rStyle w:val="None"/>
                <w:rFonts w:ascii="Trebuchet MS" w:hAnsi="Trebuchet MS"/>
              </w:rPr>
              <w:t xml:space="preserve">. Fourth Edition. New York, London: W. W. Norton &amp; </w:t>
            </w:r>
            <w:proofErr w:type="gramStart"/>
            <w:r>
              <w:rPr>
                <w:rStyle w:val="None"/>
                <w:rFonts w:ascii="Trebuchet MS" w:hAnsi="Trebuchet MS"/>
              </w:rPr>
              <w:t>Company ,</w:t>
            </w:r>
            <w:proofErr w:type="gramEnd"/>
            <w:r>
              <w:rPr>
                <w:rStyle w:val="None"/>
                <w:rFonts w:ascii="Trebuchet MS" w:hAnsi="Trebuchet MS"/>
              </w:rPr>
              <w:t xml:space="preserve"> Inc.</w:t>
            </w:r>
          </w:p>
          <w:p w14:paraId="26CB83C4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Lambert, Ben. 2018. </w:t>
            </w:r>
            <w:r>
              <w:rPr>
                <w:rStyle w:val="None"/>
                <w:rFonts w:ascii="Trebuchet MS" w:hAnsi="Trebuchet MS"/>
                <w:i/>
                <w:iCs/>
              </w:rPr>
              <w:t>A Student’s Guide to Bayesian Statistics</w:t>
            </w:r>
            <w:r>
              <w:rPr>
                <w:rStyle w:val="None"/>
                <w:rFonts w:ascii="Trebuchet MS" w:hAnsi="Trebuchet MS"/>
              </w:rPr>
              <w:t xml:space="preserve">. Los Angeles, London, New </w:t>
            </w:r>
            <w:proofErr w:type="spellStart"/>
            <w:r>
              <w:rPr>
                <w:rStyle w:val="None"/>
                <w:rFonts w:ascii="Trebuchet MS" w:hAnsi="Trebuchet MS"/>
              </w:rPr>
              <w:t>Delshi</w:t>
            </w:r>
            <w:proofErr w:type="spellEnd"/>
            <w:r>
              <w:rPr>
                <w:rStyle w:val="None"/>
                <w:rFonts w:ascii="Trebuchet MS" w:hAnsi="Trebuchet MS"/>
              </w:rPr>
              <w:t>, Singapore, Washington DS, Melbourne: SAGE Publications Ltd.</w:t>
            </w:r>
          </w:p>
          <w:p w14:paraId="688AB3CB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Pearl, </w:t>
            </w:r>
            <w:proofErr w:type="gramStart"/>
            <w:r>
              <w:rPr>
                <w:rStyle w:val="None"/>
                <w:rFonts w:ascii="Trebuchet MS" w:hAnsi="Trebuchet MS"/>
              </w:rPr>
              <w:t>Judea</w:t>
            </w:r>
            <w:proofErr w:type="gramEnd"/>
            <w:r>
              <w:rPr>
                <w:rStyle w:val="None"/>
                <w:rFonts w:ascii="Trebuchet MS" w:hAnsi="Trebuchet MS"/>
              </w:rPr>
              <w:t xml:space="preserve"> and Dana Mackenzie. 2020. </w:t>
            </w:r>
            <w:r>
              <w:rPr>
                <w:rStyle w:val="None"/>
                <w:rFonts w:ascii="Trebuchet MS" w:hAnsi="Trebuchet MS"/>
                <w:i/>
                <w:iCs/>
              </w:rPr>
              <w:t>The Book of Why: The New Science of Cause and Effect.</w:t>
            </w:r>
            <w:r>
              <w:rPr>
                <w:rStyle w:val="None"/>
                <w:rFonts w:ascii="Trebuchet MS" w:hAnsi="Trebuchet MS"/>
              </w:rPr>
              <w:t xml:space="preserve"> New York: Basic Books.</w:t>
            </w:r>
          </w:p>
          <w:p w14:paraId="2C20586D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Sider, Theodore. 2010. </w:t>
            </w:r>
            <w:r>
              <w:rPr>
                <w:rStyle w:val="None"/>
                <w:rFonts w:ascii="Trebuchet MS" w:hAnsi="Trebuchet MS"/>
                <w:i/>
                <w:iCs/>
              </w:rPr>
              <w:t>Logic for Philosophy</w:t>
            </w:r>
            <w:r>
              <w:rPr>
                <w:rStyle w:val="None"/>
                <w:rFonts w:ascii="Trebuchet MS" w:hAnsi="Trebuchet MS"/>
              </w:rPr>
              <w:t>. New York: Oxford University Press.</w:t>
            </w:r>
          </w:p>
          <w:p w14:paraId="6FED13BA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Toulmin, E. Stephen. 2003. </w:t>
            </w:r>
            <w:r>
              <w:rPr>
                <w:rStyle w:val="None"/>
                <w:rFonts w:ascii="Trebuchet MS" w:hAnsi="Trebuchet MS"/>
                <w:i/>
                <w:iCs/>
              </w:rPr>
              <w:t>The Uses of Argument</w:t>
            </w:r>
            <w:r>
              <w:rPr>
                <w:rStyle w:val="None"/>
                <w:rFonts w:ascii="Trebuchet MS" w:hAnsi="Trebuchet MS"/>
              </w:rPr>
              <w:t>. Updated Edition. Cambridge, New York, Melbourne, Madrid, Cape Town, Singapore, São Paulo: Cambridge University Press.</w:t>
            </w:r>
          </w:p>
          <w:p w14:paraId="751AC75E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Toulmin, E. Stephen, Richard Rieke, and Allan Janik. 1984. </w:t>
            </w:r>
            <w:r>
              <w:rPr>
                <w:rStyle w:val="None"/>
                <w:rFonts w:ascii="Trebuchet MS" w:hAnsi="Trebuchet MS"/>
                <w:i/>
                <w:iCs/>
              </w:rPr>
              <w:t>An Introduction to Reasoning</w:t>
            </w:r>
            <w:r>
              <w:rPr>
                <w:rStyle w:val="None"/>
                <w:rFonts w:ascii="Trebuchet MS" w:hAnsi="Trebuchet MS"/>
              </w:rPr>
              <w:t>. Second Edition. New York: Macmillan Publishing Co., Ind., London: Collier Macmillan Publishers.</w:t>
            </w:r>
          </w:p>
          <w:p w14:paraId="1F5F6AA5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Walton, Douglas. 2004. </w:t>
            </w:r>
            <w:r>
              <w:rPr>
                <w:rStyle w:val="None"/>
                <w:rFonts w:ascii="Trebuchet MS" w:hAnsi="Trebuchet MS"/>
                <w:i/>
                <w:iCs/>
              </w:rPr>
              <w:t>Relevance in Argumentation</w:t>
            </w:r>
            <w:r>
              <w:rPr>
                <w:rStyle w:val="None"/>
                <w:rFonts w:ascii="Trebuchet MS" w:hAnsi="Trebuchet MS"/>
              </w:rPr>
              <w:t>. Mahwah, NJ, London: Lawrence Erlbaum Associates, Publishers.</w:t>
            </w:r>
          </w:p>
          <w:p w14:paraId="2A8AFB68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Walton, Douglas. 2006. </w:t>
            </w:r>
            <w:r>
              <w:rPr>
                <w:rStyle w:val="None"/>
                <w:rFonts w:ascii="Trebuchet MS" w:hAnsi="Trebuchet MS"/>
                <w:i/>
                <w:iCs/>
              </w:rPr>
              <w:t>Fundamentals of Critical Argumentation</w:t>
            </w:r>
            <w:r>
              <w:rPr>
                <w:rStyle w:val="None"/>
                <w:rFonts w:ascii="Trebuchet MS" w:hAnsi="Trebuchet MS"/>
              </w:rPr>
              <w:t>. Cambridge, New York, Madrid, Cape Town, Singapore, São Paulo: Cambridge University Press.</w:t>
            </w:r>
          </w:p>
          <w:p w14:paraId="30DB98DA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Walton, Douglas. 2008. </w:t>
            </w:r>
            <w:r>
              <w:rPr>
                <w:rStyle w:val="None"/>
                <w:rFonts w:ascii="Trebuchet MS" w:hAnsi="Trebuchet MS"/>
                <w:i/>
                <w:iCs/>
              </w:rPr>
              <w:t>Informal Logic. A Pragmatic Approach.</w:t>
            </w:r>
            <w:r>
              <w:rPr>
                <w:rStyle w:val="None"/>
                <w:rFonts w:ascii="Trebuchet MS" w:hAnsi="Trebuchet MS"/>
              </w:rPr>
              <w:t xml:space="preserve"> Second Edition. New York: Cambridge University Press.</w:t>
            </w:r>
          </w:p>
          <w:p w14:paraId="7383B564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</w:pPr>
            <w:r>
              <w:rPr>
                <w:rStyle w:val="None"/>
                <w:rFonts w:ascii="Trebuchet MS" w:hAnsi="Trebuchet MS"/>
              </w:rPr>
              <w:t xml:space="preserve">Weston, Anthony. 2017. </w:t>
            </w:r>
            <w:r>
              <w:rPr>
                <w:rStyle w:val="None"/>
                <w:rFonts w:ascii="Trebuchet MS" w:hAnsi="Trebuchet MS"/>
                <w:i/>
                <w:iCs/>
              </w:rPr>
              <w:t xml:space="preserve">A Rulebook for Arguments. </w:t>
            </w:r>
            <w:r>
              <w:rPr>
                <w:rStyle w:val="None"/>
                <w:rFonts w:ascii="Trebuchet MS" w:hAnsi="Trebuchet MS"/>
              </w:rPr>
              <w:t>Fifth Edition. Indianapolis/Cambridge Hackett Publishing Company.</w:t>
            </w:r>
          </w:p>
        </w:tc>
      </w:tr>
      <w:tr w:rsidR="008C0269" w14:paraId="7983E9F4" w14:textId="77777777">
        <w:trPr>
          <w:trHeight w:val="49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C6D19" w14:textId="77777777" w:rsidR="008C0269" w:rsidRDefault="00000000">
            <w:pPr>
              <w:pStyle w:val="NoSpacing"/>
              <w:tabs>
                <w:tab w:val="right" w:pos="2912"/>
              </w:tabs>
              <w:jc w:val="center"/>
            </w:pPr>
            <w:r>
              <w:rPr>
                <w:rStyle w:val="None"/>
              </w:rPr>
              <w:t>7.2 Seminar / laboratory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20017" w14:textId="77777777" w:rsidR="008C0269" w:rsidRDefault="00000000">
            <w:pPr>
              <w:pStyle w:val="NoSpacing"/>
              <w:jc w:val="center"/>
            </w:pPr>
            <w:r>
              <w:rPr>
                <w:rStyle w:val="None"/>
              </w:rPr>
              <w:t>Teaching methods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A7268" w14:textId="77777777" w:rsidR="008C0269" w:rsidRDefault="00000000">
            <w:pPr>
              <w:pStyle w:val="NoSpacing"/>
              <w:jc w:val="center"/>
            </w:pPr>
            <w:r>
              <w:rPr>
                <w:rStyle w:val="None"/>
              </w:rPr>
              <w:t>Observations</w:t>
            </w:r>
          </w:p>
        </w:tc>
      </w:tr>
      <w:tr w:rsidR="008C0269" w14:paraId="71DF5918" w14:textId="77777777">
        <w:trPr>
          <w:trHeight w:val="145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31E3D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Identifying the structure of an argument. Evaluation of arguments: premises, conclusion, assumptions. Toulmin model.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BF9E0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Discussions on the theoretical aspects of argumentation. Applications: identifying the structure of arguments; analyzing arguments. Representation of arguments using Diagrams and Toulmin model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DFFE8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h</w:t>
            </w:r>
          </w:p>
        </w:tc>
      </w:tr>
      <w:tr w:rsidR="008C0269" w14:paraId="2BC5FBDE" w14:textId="77777777">
        <w:trPr>
          <w:trHeight w:val="73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9EA8D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Propositional Logic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7EE61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Discussions on the theoretical aspects of propositional logic. Applications: testing arguments for validity; fallacies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0B9D5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h</w:t>
            </w:r>
          </w:p>
        </w:tc>
      </w:tr>
      <w:tr w:rsidR="008C0269" w14:paraId="3974A089" w14:textId="77777777">
        <w:trPr>
          <w:trHeight w:val="97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C452B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Predicate Logic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67471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Discussions on the theoretical aspects of predicate logic. Applications: rules of inference; validity and invalidity; fallacies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DC329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h</w:t>
            </w:r>
          </w:p>
        </w:tc>
      </w:tr>
      <w:tr w:rsidR="008C0269" w14:paraId="46356A78" w14:textId="77777777">
        <w:trPr>
          <w:trHeight w:val="73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7ACA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Inductive Generalizations. Analogical Reasoning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8695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Discussions on the theoretical aspects of inductive reasoning. Applications: analyzing arguments from analogy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5A486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h</w:t>
            </w:r>
          </w:p>
        </w:tc>
      </w:tr>
      <w:tr w:rsidR="008C0269" w14:paraId="28F40030" w14:textId="77777777">
        <w:trPr>
          <w:trHeight w:val="73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251DF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Statistical Reasoning. Correlation and Causality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BA09E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Discussions on the theoretical aspects of statistical reasoning. Applications: evaluating statistics and correlations;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DA79D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h</w:t>
            </w:r>
          </w:p>
        </w:tc>
      </w:tr>
      <w:tr w:rsidR="008C0269" w14:paraId="2255E303" w14:textId="77777777">
        <w:trPr>
          <w:trHeight w:val="731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7F639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Explanation. Testing Hypothesis.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DB8CE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Discussions on the theoretical aspects of Explanation and Hypothesis. Applications: testing hypothesis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79759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h</w:t>
            </w:r>
          </w:p>
        </w:tc>
      </w:tr>
      <w:tr w:rsidR="008C0269" w14:paraId="01CF33D8" w14:textId="77777777">
        <w:trPr>
          <w:trHeight w:val="1210"/>
        </w:trPr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2ADF9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Probability. Bayes’ Rule and </w:t>
            </w:r>
            <w:proofErr w:type="spellStart"/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Bayesianism</w:t>
            </w:r>
            <w:proofErr w:type="spellEnd"/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91907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Discussions on the theoretical aspects of probability. Applications: elements of probability, Bayes’ rule, testing hypothesis and learning from experience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E6C8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 h</w:t>
            </w:r>
          </w:p>
        </w:tc>
      </w:tr>
      <w:tr w:rsidR="008C0269" w14:paraId="49687684" w14:textId="77777777">
        <w:trPr>
          <w:trHeight w:val="7210"/>
        </w:trPr>
        <w:tc>
          <w:tcPr>
            <w:tcW w:w="93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486E4" w14:textId="77777777" w:rsidR="008C0269" w:rsidRDefault="00000000">
            <w:pPr>
              <w:pStyle w:val="NoSpacing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lastRenderedPageBreak/>
              <w:t>References:</w:t>
            </w:r>
          </w:p>
          <w:p w14:paraId="19B78CC2" w14:textId="77777777" w:rsidR="008C0269" w:rsidRDefault="008C0269">
            <w:pPr>
              <w:pStyle w:val="NoSpacing"/>
              <w:rPr>
                <w:rStyle w:val="None"/>
                <w:rFonts w:ascii="Trebuchet MS" w:eastAsia="Trebuchet MS" w:hAnsi="Trebuchet MS" w:cs="Trebuchet MS"/>
              </w:rPr>
            </w:pPr>
          </w:p>
          <w:p w14:paraId="319FB43A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Hacking, Ian. 2001. </w:t>
            </w:r>
            <w:r>
              <w:rPr>
                <w:rStyle w:val="None"/>
                <w:rFonts w:ascii="Trebuchet MS" w:hAnsi="Trebuchet MS"/>
                <w:i/>
                <w:iCs/>
              </w:rPr>
              <w:t>An Introduction to Probability and Inductive Logic.</w:t>
            </w:r>
            <w:r>
              <w:rPr>
                <w:rStyle w:val="None"/>
                <w:rFonts w:ascii="Trebuchet MS" w:hAnsi="Trebuchet MS"/>
              </w:rPr>
              <w:t xml:space="preserve"> New York: Cambridge University Press.</w:t>
            </w:r>
          </w:p>
          <w:p w14:paraId="56D1E3C8" w14:textId="77777777" w:rsidR="008C0269" w:rsidRDefault="00000000">
            <w:pPr>
              <w:pStyle w:val="Default"/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Browne, M. Neil, and Stuart M. Keeley. 2007. </w:t>
            </w:r>
            <w:r>
              <w:rPr>
                <w:rStyle w:val="None"/>
                <w:rFonts w:ascii="Trebuchet MS" w:hAnsi="Trebuchet MS"/>
                <w:i/>
                <w:iCs/>
              </w:rPr>
              <w:t>Asking the Right Questions. A Guide to Critical Thinking</w:t>
            </w:r>
            <w:r>
              <w:rPr>
                <w:rStyle w:val="None"/>
                <w:rFonts w:ascii="Trebuchet MS" w:hAnsi="Trebuchet MS"/>
              </w:rPr>
              <w:t xml:space="preserve">. Eight Edition. Upper Saddle River, NJ: </w:t>
            </w:r>
            <w:proofErr w:type="spellStart"/>
            <w:r>
              <w:rPr>
                <w:rStyle w:val="None"/>
                <w:rFonts w:ascii="Trebuchet MS" w:hAnsi="Trebuchet MS"/>
              </w:rPr>
              <w:t>Paerson</w:t>
            </w:r>
            <w:proofErr w:type="spellEnd"/>
            <w:r>
              <w:rPr>
                <w:rStyle w:val="None"/>
                <w:rFonts w:ascii="Trebuchet MS" w:hAnsi="Trebuchet MS"/>
              </w:rPr>
              <w:t xml:space="preserve"> Prentice Hall.</w:t>
            </w:r>
          </w:p>
          <w:p w14:paraId="4D1C5585" w14:textId="77777777" w:rsidR="008C0269" w:rsidRDefault="00000000">
            <w:pPr>
              <w:pStyle w:val="Default"/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Cottrell, Stela. 2005. </w:t>
            </w:r>
            <w:r>
              <w:rPr>
                <w:rStyle w:val="None"/>
                <w:rFonts w:ascii="Trebuchet MS" w:hAnsi="Trebuchet MS"/>
                <w:i/>
                <w:iCs/>
              </w:rPr>
              <w:t xml:space="preserve">Critical Thinking Skills. Developing Effective Analysis and Argumentation. </w:t>
            </w:r>
            <w:r>
              <w:rPr>
                <w:rStyle w:val="None"/>
                <w:rFonts w:ascii="Trebuchet MS" w:hAnsi="Trebuchet MS"/>
              </w:rPr>
              <w:t>New York: Palgrave MacMillan.</w:t>
            </w:r>
          </w:p>
          <w:p w14:paraId="5309BA03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  <w:i/>
                <w:iCs/>
              </w:rPr>
            </w:pPr>
            <w:r>
              <w:rPr>
                <w:rStyle w:val="None"/>
                <w:rFonts w:ascii="Trebuchet MS" w:hAnsi="Trebuchet MS"/>
              </w:rPr>
              <w:t xml:space="preserve">Howson, </w:t>
            </w:r>
            <w:proofErr w:type="gramStart"/>
            <w:r>
              <w:rPr>
                <w:rStyle w:val="None"/>
                <w:rFonts w:ascii="Trebuchet MS" w:hAnsi="Trebuchet MS"/>
              </w:rPr>
              <w:t>Colin</w:t>
            </w:r>
            <w:proofErr w:type="gramEnd"/>
            <w:r>
              <w:rPr>
                <w:rStyle w:val="None"/>
                <w:rFonts w:ascii="Trebuchet MS" w:hAnsi="Trebuchet MS"/>
              </w:rPr>
              <w:t xml:space="preserve"> and Peter Urbach. 2006. </w:t>
            </w:r>
            <w:r>
              <w:rPr>
                <w:rStyle w:val="None"/>
                <w:rFonts w:ascii="Trebuchet MS" w:hAnsi="Trebuchet MS"/>
                <w:i/>
                <w:iCs/>
              </w:rPr>
              <w:t xml:space="preserve">Scientific Reasoning: The Bayesian Approach. </w:t>
            </w:r>
            <w:r>
              <w:rPr>
                <w:rStyle w:val="None"/>
                <w:rFonts w:ascii="Trebuchet MS" w:hAnsi="Trebuchet MS"/>
              </w:rPr>
              <w:t>Third Edition. Chicago and La Salle, Illinois: Open Court.</w:t>
            </w:r>
          </w:p>
          <w:p w14:paraId="3731F81B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Hurley, J. Patrick, Lori Watson. 2018. </w:t>
            </w:r>
            <w:r>
              <w:rPr>
                <w:rStyle w:val="None"/>
                <w:rFonts w:ascii="Trebuchet MS" w:hAnsi="Trebuchet MS"/>
                <w:i/>
                <w:iCs/>
              </w:rPr>
              <w:t>A Concise Introduction to Logic</w:t>
            </w:r>
            <w:r>
              <w:rPr>
                <w:rStyle w:val="None"/>
                <w:rFonts w:ascii="Trebuchet MS" w:hAnsi="Trebuchet MS"/>
              </w:rPr>
              <w:t>. Thirteenth Edition. Australia, Brazil, Mexico, Singapore, United Kingdom, United States: Cengage Learning.</w:t>
            </w:r>
          </w:p>
          <w:p w14:paraId="1307F6AF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Jaynes, E. T. 2003 </w:t>
            </w:r>
            <w:r>
              <w:rPr>
                <w:rStyle w:val="None"/>
                <w:rFonts w:ascii="Trebuchet MS" w:hAnsi="Trebuchet MS"/>
                <w:i/>
                <w:iCs/>
              </w:rPr>
              <w:t>Probability Theory: The Logic of Science</w:t>
            </w:r>
            <w:r>
              <w:rPr>
                <w:rStyle w:val="None"/>
                <w:rFonts w:ascii="Trebuchet MS" w:hAnsi="Trebuchet MS"/>
              </w:rPr>
              <w:t>. Cambridge, New York, Melbourne, Madrid, Cape Town, Singapore, São Paulo: Cambridge University Press.</w:t>
            </w:r>
          </w:p>
          <w:p w14:paraId="338F4701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Style w:val="None"/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Kelley, David. 2014. </w:t>
            </w:r>
            <w:r>
              <w:rPr>
                <w:rStyle w:val="None"/>
                <w:rFonts w:ascii="Trebuchet MS" w:hAnsi="Trebuchet MS"/>
                <w:i/>
                <w:iCs/>
              </w:rPr>
              <w:t>The Art of Reasoning. An Introduction to Logic and Critical Thinking</w:t>
            </w:r>
            <w:r>
              <w:rPr>
                <w:rStyle w:val="None"/>
                <w:rFonts w:ascii="Trebuchet MS" w:hAnsi="Trebuchet MS"/>
              </w:rPr>
              <w:t xml:space="preserve">. Fourth Edition. New York, London: W. W. Norton &amp; </w:t>
            </w:r>
            <w:proofErr w:type="gramStart"/>
            <w:r>
              <w:rPr>
                <w:rStyle w:val="None"/>
                <w:rFonts w:ascii="Trebuchet MS" w:hAnsi="Trebuchet MS"/>
              </w:rPr>
              <w:t>Company ,</w:t>
            </w:r>
            <w:proofErr w:type="gramEnd"/>
            <w:r>
              <w:rPr>
                <w:rStyle w:val="None"/>
                <w:rFonts w:ascii="Trebuchet MS" w:hAnsi="Trebuchet MS"/>
              </w:rPr>
              <w:t xml:space="preserve"> Inc.</w:t>
            </w:r>
          </w:p>
          <w:p w14:paraId="1AA3CA61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Lambert, Ben. 2018. </w:t>
            </w:r>
            <w:r>
              <w:rPr>
                <w:rStyle w:val="None"/>
                <w:rFonts w:ascii="Trebuchet MS" w:hAnsi="Trebuchet MS"/>
                <w:i/>
                <w:iCs/>
              </w:rPr>
              <w:t>A Student’s Guide to Bayesian Statistics</w:t>
            </w:r>
            <w:r>
              <w:rPr>
                <w:rStyle w:val="None"/>
                <w:rFonts w:ascii="Trebuchet MS" w:hAnsi="Trebuchet MS"/>
              </w:rPr>
              <w:t xml:space="preserve">. Los Angeles, London, New </w:t>
            </w:r>
            <w:proofErr w:type="spellStart"/>
            <w:r>
              <w:rPr>
                <w:rStyle w:val="None"/>
                <w:rFonts w:ascii="Trebuchet MS" w:hAnsi="Trebuchet MS"/>
              </w:rPr>
              <w:t>Delshi</w:t>
            </w:r>
            <w:proofErr w:type="spellEnd"/>
            <w:r>
              <w:rPr>
                <w:rStyle w:val="None"/>
                <w:rFonts w:ascii="Trebuchet MS" w:hAnsi="Trebuchet MS"/>
              </w:rPr>
              <w:t>, Singapore, Washington DS, Melbourne: SAGE Publications Ltd.</w:t>
            </w:r>
          </w:p>
          <w:p w14:paraId="1897BCFD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Pearl, </w:t>
            </w:r>
            <w:proofErr w:type="gramStart"/>
            <w:r>
              <w:rPr>
                <w:rStyle w:val="None"/>
                <w:rFonts w:ascii="Trebuchet MS" w:hAnsi="Trebuchet MS"/>
              </w:rPr>
              <w:t>Judea</w:t>
            </w:r>
            <w:proofErr w:type="gramEnd"/>
            <w:r>
              <w:rPr>
                <w:rStyle w:val="None"/>
                <w:rFonts w:ascii="Trebuchet MS" w:hAnsi="Trebuchet MS"/>
              </w:rPr>
              <w:t xml:space="preserve"> and Dana Mackenzie. 2020. </w:t>
            </w:r>
            <w:r>
              <w:rPr>
                <w:rStyle w:val="None"/>
                <w:rFonts w:ascii="Trebuchet MS" w:hAnsi="Trebuchet MS"/>
                <w:i/>
                <w:iCs/>
              </w:rPr>
              <w:t>The Book of Why: The New Science of Cause and Effect.</w:t>
            </w:r>
            <w:r>
              <w:rPr>
                <w:rStyle w:val="None"/>
                <w:rFonts w:ascii="Trebuchet MS" w:hAnsi="Trebuchet MS"/>
              </w:rPr>
              <w:t xml:space="preserve"> New York: Basic Books.</w:t>
            </w:r>
          </w:p>
          <w:p w14:paraId="1039EFE8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Sider, Theodore. 2010. </w:t>
            </w:r>
            <w:r>
              <w:rPr>
                <w:rStyle w:val="None"/>
                <w:rFonts w:ascii="Trebuchet MS" w:hAnsi="Trebuchet MS"/>
                <w:i/>
                <w:iCs/>
              </w:rPr>
              <w:t xml:space="preserve">Logic for </w:t>
            </w:r>
            <w:proofErr w:type="gramStart"/>
            <w:r>
              <w:rPr>
                <w:rStyle w:val="None"/>
                <w:rFonts w:ascii="Trebuchet MS" w:hAnsi="Trebuchet MS"/>
                <w:i/>
                <w:iCs/>
              </w:rPr>
              <w:t>Philosophy.</w:t>
            </w:r>
            <w:r>
              <w:rPr>
                <w:rStyle w:val="None"/>
                <w:rFonts w:ascii="Trebuchet MS" w:hAnsi="Trebuchet MS"/>
              </w:rPr>
              <w:t>.</w:t>
            </w:r>
            <w:proofErr w:type="gramEnd"/>
            <w:r>
              <w:rPr>
                <w:rStyle w:val="None"/>
                <w:rFonts w:ascii="Trebuchet MS" w:hAnsi="Trebuchet MS"/>
              </w:rPr>
              <w:t xml:space="preserve"> New York: Oxford University Press.</w:t>
            </w:r>
          </w:p>
          <w:p w14:paraId="19B56163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Toulmin, E. Stephen. 2003. </w:t>
            </w:r>
            <w:r>
              <w:rPr>
                <w:rStyle w:val="None"/>
                <w:rFonts w:ascii="Trebuchet MS" w:hAnsi="Trebuchet MS"/>
                <w:i/>
                <w:iCs/>
              </w:rPr>
              <w:t>The Uses of Argument</w:t>
            </w:r>
            <w:r>
              <w:rPr>
                <w:rStyle w:val="None"/>
                <w:rFonts w:ascii="Trebuchet MS" w:hAnsi="Trebuchet MS"/>
              </w:rPr>
              <w:t>. Updated Edition. Cambridge, New York, Melbourne, Madrid, Cape Town, Singapore, São Paulo: Cambridge University Press.</w:t>
            </w:r>
          </w:p>
          <w:p w14:paraId="5E65DF17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Toulmin, E. Stephen, Richard Rieke, and Allan Janik. 1984. </w:t>
            </w:r>
            <w:r>
              <w:rPr>
                <w:rStyle w:val="None"/>
                <w:rFonts w:ascii="Trebuchet MS" w:hAnsi="Trebuchet MS"/>
                <w:i/>
                <w:iCs/>
              </w:rPr>
              <w:t>An Introduction to Reasoning</w:t>
            </w:r>
            <w:r>
              <w:rPr>
                <w:rStyle w:val="None"/>
                <w:rFonts w:ascii="Trebuchet MS" w:hAnsi="Trebuchet MS"/>
              </w:rPr>
              <w:t>. Second Edition. New York: Macmillan Publishing Co., Ind., London: Collier Macmillan Publishers.</w:t>
            </w:r>
          </w:p>
          <w:p w14:paraId="052C642E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Style w:val="None"/>
                <w:rFonts w:ascii="Trebuchet MS" w:hAnsi="Trebuchet MS"/>
              </w:rPr>
              <w:t xml:space="preserve">Walton, Douglas. 2006. </w:t>
            </w:r>
            <w:r>
              <w:rPr>
                <w:rStyle w:val="None"/>
                <w:rFonts w:ascii="Trebuchet MS" w:hAnsi="Trebuchet MS"/>
                <w:i/>
                <w:iCs/>
              </w:rPr>
              <w:t>Fundamentals of Critical Argumentation</w:t>
            </w:r>
            <w:r>
              <w:rPr>
                <w:rStyle w:val="None"/>
                <w:rFonts w:ascii="Trebuchet MS" w:hAnsi="Trebuchet MS"/>
              </w:rPr>
              <w:t>. Cambridge, New York, Madrid, Cape Town, Singapore, São Paulo: Cambridge University Press.</w:t>
            </w:r>
          </w:p>
          <w:p w14:paraId="130BDEA1" w14:textId="77777777" w:rsidR="008C0269" w:rsidRDefault="00000000">
            <w:pPr>
              <w:pStyle w:val="Default"/>
              <w:tabs>
                <w:tab w:val="left" w:pos="500"/>
                <w:tab w:val="left" w:pos="3021"/>
              </w:tabs>
              <w:ind w:left="283" w:hanging="283"/>
              <w:jc w:val="both"/>
            </w:pPr>
            <w:r>
              <w:rPr>
                <w:rStyle w:val="None"/>
                <w:rFonts w:ascii="Trebuchet MS" w:hAnsi="Trebuchet MS"/>
              </w:rPr>
              <w:t xml:space="preserve">Weston, Anthony. 2017. </w:t>
            </w:r>
            <w:r>
              <w:rPr>
                <w:rStyle w:val="None"/>
                <w:rFonts w:ascii="Trebuchet MS" w:hAnsi="Trebuchet MS"/>
                <w:i/>
                <w:iCs/>
              </w:rPr>
              <w:t xml:space="preserve">A Rulebook for Arguments. </w:t>
            </w:r>
            <w:r>
              <w:rPr>
                <w:rStyle w:val="None"/>
                <w:rFonts w:ascii="Trebuchet MS" w:hAnsi="Trebuchet MS"/>
              </w:rPr>
              <w:t>Fifth Edition. Indianapolis/Cambridge Hackett Publishing Company.</w:t>
            </w:r>
          </w:p>
        </w:tc>
      </w:tr>
    </w:tbl>
    <w:p w14:paraId="4797905A" w14:textId="77777777" w:rsidR="008C0269" w:rsidRDefault="008C0269">
      <w:pPr>
        <w:pStyle w:val="ListParagraph"/>
        <w:widowControl w:val="0"/>
        <w:numPr>
          <w:ilvl w:val="0"/>
          <w:numId w:val="3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1C89A3D7" w14:textId="77777777" w:rsidR="008C0269" w:rsidRDefault="008C0269">
      <w:pPr>
        <w:pStyle w:val="ListParagraph"/>
        <w:spacing w:line="276" w:lineRule="auto"/>
        <w:ind w:left="714"/>
        <w:jc w:val="both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675F2C18" w14:textId="77777777" w:rsidR="008C0269" w:rsidRDefault="008C0269">
      <w:pPr>
        <w:pStyle w:val="ListParagraph"/>
        <w:spacing w:line="276" w:lineRule="auto"/>
        <w:ind w:left="714"/>
        <w:jc w:val="both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492B8F60" w14:textId="77777777" w:rsidR="008C0269" w:rsidRDefault="00000000">
      <w:pPr>
        <w:pStyle w:val="ListParagraph"/>
        <w:numPr>
          <w:ilvl w:val="0"/>
          <w:numId w:val="17"/>
        </w:numPr>
        <w:spacing w:line="276" w:lineRule="auto"/>
        <w:jc w:val="both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 xml:space="preserve">Correlation of discipline contents with the expectations of the representatives of the epistemic community, professional associations and representative employers in the field related to the </w:t>
      </w:r>
      <w:proofErr w:type="gramStart"/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>program</w:t>
      </w:r>
      <w:proofErr w:type="gramEnd"/>
    </w:p>
    <w:tbl>
      <w:tblPr>
        <w:tblW w:w="93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89"/>
      </w:tblGrid>
      <w:tr w:rsidR="008C0269" w14:paraId="4DB81A43" w14:textId="77777777">
        <w:trPr>
          <w:trHeight w:val="970"/>
        </w:trPr>
        <w:tc>
          <w:tcPr>
            <w:tcW w:w="9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83CFA" w14:textId="77777777" w:rsidR="008C0269" w:rsidRDefault="00000000">
            <w:pPr>
              <w:pStyle w:val="Default"/>
              <w:jc w:val="both"/>
            </w:pPr>
            <w:r>
              <w:rPr>
                <w:rStyle w:val="None"/>
                <w:rFonts w:ascii="Trebuchet MS" w:hAnsi="Trebuchet MS"/>
              </w:rPr>
              <w:t>The content of the course is compatible with the content of the similar courses in undergraduate Cognitive Science programs taught at University of Bucharest, Babeș-Bolyai University, The University of Edinburg and with the expectations of the epistemic community.</w:t>
            </w:r>
          </w:p>
        </w:tc>
      </w:tr>
    </w:tbl>
    <w:p w14:paraId="2AD45535" w14:textId="77777777" w:rsidR="008C0269" w:rsidRDefault="008C0269">
      <w:pPr>
        <w:pStyle w:val="ListParagraph"/>
        <w:widowControl w:val="0"/>
        <w:numPr>
          <w:ilvl w:val="0"/>
          <w:numId w:val="3"/>
        </w:numPr>
        <w:jc w:val="both"/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2ED59611" w14:textId="77777777" w:rsidR="008C0269" w:rsidRDefault="008C0269">
      <w:pPr>
        <w:pStyle w:val="ListParagraph"/>
        <w:spacing w:line="276" w:lineRule="auto"/>
        <w:ind w:left="714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52EACC69" w14:textId="77777777" w:rsidR="008C0269" w:rsidRDefault="008C0269">
      <w:pPr>
        <w:pStyle w:val="ListParagraph"/>
        <w:spacing w:line="276" w:lineRule="auto"/>
        <w:ind w:left="714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14B0C7DE" w14:textId="77777777" w:rsidR="008C0269" w:rsidRDefault="00000000">
      <w:pPr>
        <w:pStyle w:val="ListParagraph"/>
        <w:numPr>
          <w:ilvl w:val="0"/>
          <w:numId w:val="18"/>
        </w:numPr>
        <w:spacing w:line="276" w:lineRule="auto"/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b/>
          <w:bCs/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 xml:space="preserve"> Assessment</w:t>
      </w:r>
    </w:p>
    <w:tbl>
      <w:tblPr>
        <w:tblW w:w="933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69"/>
        <w:gridCol w:w="3362"/>
        <w:gridCol w:w="1717"/>
        <w:gridCol w:w="1691"/>
      </w:tblGrid>
      <w:tr w:rsidR="008C0269" w14:paraId="51921BFB" w14:textId="77777777">
        <w:trPr>
          <w:trHeight w:val="49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3C74" w14:textId="77777777" w:rsidR="008C0269" w:rsidRDefault="00000000">
            <w:pPr>
              <w:pStyle w:val="NoSpacing"/>
            </w:pPr>
            <w:r>
              <w:rPr>
                <w:rStyle w:val="None"/>
              </w:rPr>
              <w:t>Activity type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C1FD0" w14:textId="77777777" w:rsidR="008C0269" w:rsidRDefault="00000000">
            <w:pPr>
              <w:pStyle w:val="NoSpacing"/>
            </w:pPr>
            <w:r>
              <w:rPr>
                <w:rStyle w:val="None"/>
              </w:rPr>
              <w:t>9.1 Assessment criteria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D10BC" w14:textId="77777777" w:rsidR="008C0269" w:rsidRDefault="00000000">
            <w:pPr>
              <w:pStyle w:val="NoSpacing"/>
            </w:pPr>
            <w:r>
              <w:rPr>
                <w:rStyle w:val="None"/>
              </w:rPr>
              <w:t>9.2 Assessment methods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A92F" w14:textId="77777777" w:rsidR="008C0269" w:rsidRDefault="00000000">
            <w:pPr>
              <w:pStyle w:val="NoSpacing"/>
            </w:pPr>
            <w:r>
              <w:rPr>
                <w:rStyle w:val="None"/>
              </w:rPr>
              <w:t>9.3 Weight of final mark</w:t>
            </w:r>
          </w:p>
        </w:tc>
      </w:tr>
      <w:tr w:rsidR="008C0269" w14:paraId="250C416B" w14:textId="77777777">
        <w:trPr>
          <w:trHeight w:val="1931"/>
        </w:trPr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856F4" w14:textId="77777777" w:rsidR="008C0269" w:rsidRDefault="00000000">
            <w:pPr>
              <w:pStyle w:val="NoSpacing"/>
            </w:pPr>
            <w:r>
              <w:rPr>
                <w:rStyle w:val="None"/>
              </w:rPr>
              <w:lastRenderedPageBreak/>
              <w:t>9.4 Course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CC8A1" w14:textId="77777777" w:rsidR="008C0269" w:rsidRDefault="00000000">
            <w:pPr>
              <w:pStyle w:val="Body"/>
              <w:numPr>
                <w:ilvl w:val="0"/>
                <w:numId w:val="19"/>
              </w:numPr>
              <w:jc w:val="both"/>
              <w:rPr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knowledge and understanding of the fundamental concepts and theories of argumentation — deductive </w:t>
            </w:r>
            <w:proofErr w:type="gramStart"/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reasoning</w:t>
            </w:r>
            <w:proofErr w:type="gramEnd"/>
          </w:p>
          <w:p w14:paraId="35E970E0" w14:textId="77777777" w:rsidR="008C0269" w:rsidRDefault="00000000">
            <w:pPr>
              <w:pStyle w:val="Body"/>
              <w:numPr>
                <w:ilvl w:val="0"/>
                <w:numId w:val="19"/>
              </w:numPr>
              <w:jc w:val="both"/>
              <w:rPr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proper application of the basic knowledge of argumentation - deductive reasoning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C178B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Midterm exam (fundamental concepts of argumentation, deductive reasoning)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004FE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25%</w:t>
            </w:r>
          </w:p>
        </w:tc>
      </w:tr>
      <w:tr w:rsidR="008C0269" w14:paraId="33854DFF" w14:textId="77777777">
        <w:trPr>
          <w:trHeight w:val="2171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61BD" w14:textId="77777777" w:rsidR="008C0269" w:rsidRDefault="008C0269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06E85" w14:textId="77777777" w:rsidR="008C0269" w:rsidRDefault="00000000">
            <w:pPr>
              <w:pStyle w:val="Body"/>
              <w:numPr>
                <w:ilvl w:val="0"/>
                <w:numId w:val="20"/>
              </w:numPr>
              <w:jc w:val="both"/>
              <w:rPr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knowledge and understanding of the fundamental concepts and theories of argumentation — inductive </w:t>
            </w:r>
            <w:proofErr w:type="gramStart"/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reasoning</w:t>
            </w:r>
            <w:proofErr w:type="gramEnd"/>
          </w:p>
          <w:p w14:paraId="37ACBC82" w14:textId="77777777" w:rsidR="008C0269" w:rsidRDefault="00000000">
            <w:pPr>
              <w:pStyle w:val="Body"/>
              <w:numPr>
                <w:ilvl w:val="0"/>
                <w:numId w:val="20"/>
              </w:numPr>
              <w:jc w:val="both"/>
              <w:rPr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proper application of the basic knowledge of argumentation - inductive reasoning, scientific reasoning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8990C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Final exam (fundamental concepts of argumentation, inductive and scientific reasoning)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448B0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40%</w:t>
            </w:r>
          </w:p>
        </w:tc>
      </w:tr>
      <w:tr w:rsidR="008C0269" w14:paraId="56729EEF" w14:textId="77777777">
        <w:trPr>
          <w:trHeight w:val="491"/>
        </w:trPr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031C" w14:textId="77777777" w:rsidR="008C0269" w:rsidRDefault="00000000">
            <w:pPr>
              <w:pStyle w:val="NoSpacing"/>
            </w:pPr>
            <w:r>
              <w:rPr>
                <w:rStyle w:val="None"/>
              </w:rPr>
              <w:t>9.5 Seminar / laboratory</w:t>
            </w:r>
          </w:p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A09FC" w14:textId="77777777" w:rsidR="008C0269" w:rsidRDefault="00000000">
            <w:pPr>
              <w:pStyle w:val="Body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Problem solving in seminar classes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E6F6" w14:textId="77777777" w:rsidR="008C0269" w:rsidRDefault="00000000">
            <w:pPr>
              <w:pStyle w:val="Body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Assignments and quizzes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19BF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25%</w:t>
            </w:r>
          </w:p>
        </w:tc>
      </w:tr>
      <w:tr w:rsidR="008C0269" w14:paraId="7C5C80D5" w14:textId="77777777">
        <w:trPr>
          <w:trHeight w:val="491"/>
        </w:trPr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81BE8" w14:textId="77777777" w:rsidR="008C0269" w:rsidRDefault="008C0269"/>
        </w:tc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34809" w14:textId="77777777" w:rsidR="008C0269" w:rsidRDefault="00000000">
            <w:pPr>
              <w:pStyle w:val="Body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Discussions and active participation in seminars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F2FF3" w14:textId="77777777" w:rsidR="008C0269" w:rsidRDefault="00000000">
            <w:pPr>
              <w:pStyle w:val="Body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Class participation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5D55" w14:textId="77777777" w:rsidR="008C0269" w:rsidRDefault="00000000">
            <w:pPr>
              <w:pStyle w:val="Body"/>
              <w:jc w:val="center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10%</w:t>
            </w:r>
          </w:p>
        </w:tc>
      </w:tr>
      <w:tr w:rsidR="008C0269" w14:paraId="14E16005" w14:textId="77777777">
        <w:trPr>
          <w:trHeight w:val="263"/>
        </w:trPr>
        <w:tc>
          <w:tcPr>
            <w:tcW w:w="9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6E5C" w14:textId="77777777" w:rsidR="008C0269" w:rsidRDefault="00000000">
            <w:pPr>
              <w:pStyle w:val="NoSpacing"/>
            </w:pPr>
            <w:r>
              <w:rPr>
                <w:rStyle w:val="None"/>
              </w:rPr>
              <w:t>9.6 Minimum performance standard</w:t>
            </w:r>
          </w:p>
        </w:tc>
      </w:tr>
      <w:tr w:rsidR="008C0269" w14:paraId="1CCB36FF" w14:textId="77777777">
        <w:trPr>
          <w:trHeight w:val="730"/>
        </w:trPr>
        <w:tc>
          <w:tcPr>
            <w:tcW w:w="9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53D2" w14:textId="77777777" w:rsidR="008C0269" w:rsidRDefault="00000000">
            <w:pPr>
              <w:pStyle w:val="Body"/>
              <w:jc w:val="both"/>
              <w:rPr>
                <w:rStyle w:val="None"/>
                <w:rFonts w:ascii="Trebuchet MS" w:eastAsia="Trebuchet MS" w:hAnsi="Trebuchet MS" w:cs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For Course/Exams: </w:t>
            </w: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The final grade computed with the formula 25% Midterm Exam + 40% Final Exam should be at least 5 (five)</w:t>
            </w:r>
          </w:p>
          <w:p w14:paraId="56F55503" w14:textId="77777777" w:rsidR="008C0269" w:rsidRDefault="00000000">
            <w:pPr>
              <w:pStyle w:val="Body"/>
              <w:jc w:val="both"/>
            </w:pPr>
            <w:r>
              <w:rPr>
                <w:rStyle w:val="None"/>
                <w:rFonts w:ascii="Trebuchet MS" w:hAnsi="Trebuchet MS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For Seminar: Assignments and Quizzes + 10% Class participation should be at least 5 (five).</w:t>
            </w:r>
          </w:p>
        </w:tc>
      </w:tr>
    </w:tbl>
    <w:p w14:paraId="3B09A57C" w14:textId="77777777" w:rsidR="008C0269" w:rsidRDefault="008C0269">
      <w:pPr>
        <w:pStyle w:val="ListParagraph"/>
        <w:widowControl w:val="0"/>
        <w:numPr>
          <w:ilvl w:val="0"/>
          <w:numId w:val="3"/>
        </w:numP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</w:p>
    <w:p w14:paraId="7C1E5F82" w14:textId="77777777" w:rsidR="008C0269" w:rsidRDefault="008C0269">
      <w:pPr>
        <w:pStyle w:val="Body"/>
        <w:widowControl w:val="0"/>
        <w:rPr>
          <w:sz w:val="26"/>
          <w:szCs w:val="26"/>
        </w:rPr>
      </w:pPr>
    </w:p>
    <w:p w14:paraId="3442F9C9" w14:textId="77777777" w:rsidR="008C0269" w:rsidRDefault="008C0269">
      <w:pPr>
        <w:pStyle w:val="BodyA"/>
        <w:jc w:val="center"/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8755BBB" w14:textId="77777777" w:rsidR="008C0269" w:rsidRDefault="008C0269">
      <w:pPr>
        <w:pStyle w:val="BodyA"/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194CC1E5" w14:textId="77777777" w:rsidR="008C0269" w:rsidRDefault="00000000">
      <w:pPr>
        <w:pStyle w:val="BodyA"/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  <w:t>Date of completion                                                                                   Tenure teacher</w:t>
      </w:r>
    </w:p>
    <w:p w14:paraId="30B72112" w14:textId="77777777" w:rsidR="008C0269" w:rsidRDefault="008C0269">
      <w:pPr>
        <w:pStyle w:val="BodyA"/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7C7C6FD3" w14:textId="77777777" w:rsidR="008C0269" w:rsidRDefault="00000000">
      <w:pPr>
        <w:pStyle w:val="BodyA"/>
        <w:jc w:val="right"/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6"/>
          <w:szCs w:val="26"/>
          <w14:textOutline w14:w="0" w14:cap="flat" w14:cmpd="sng" w14:algn="ctr">
            <w14:noFill/>
            <w14:prstDash w14:val="solid"/>
            <w14:bevel/>
          </w14:textOutline>
        </w:rPr>
        <w:t>Lect. univ. dr. Octavian Repolschi</w:t>
      </w:r>
    </w:p>
    <w:p w14:paraId="4CDAEC03" w14:textId="77777777" w:rsidR="008C0269" w:rsidRDefault="00000000">
      <w:pPr>
        <w:pStyle w:val="BodyA"/>
      </w:pPr>
      <w:r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Date of approval in department                                                                      </w:t>
      </w:r>
      <w:proofErr w:type="spellStart"/>
      <w:r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  <w:t>Department</w:t>
      </w:r>
      <w:proofErr w:type="spellEnd"/>
      <w:r>
        <w:rPr>
          <w:sz w:val="26"/>
          <w:szCs w:val="26"/>
          <w:lang w:val="en-US"/>
          <w14:textOutline w14:w="0" w14:cap="flat" w14:cmpd="sng" w14:algn="ctr">
            <w14:noFill/>
            <w14:prstDash w14:val="solid"/>
            <w14:bevel/>
          </w14:textOutline>
        </w:rPr>
        <w:t xml:space="preserve"> Director</w:t>
      </w:r>
    </w:p>
    <w:sectPr w:rsidR="008C0269">
      <w:headerReference w:type="default" r:id="rId7"/>
      <w:footerReference w:type="default" r:id="rId8"/>
      <w:pgSz w:w="11900" w:h="16840"/>
      <w:pgMar w:top="2170" w:right="1133" w:bottom="1418" w:left="1418" w:header="288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66F6E" w14:textId="77777777" w:rsidR="00D76DF0" w:rsidRDefault="00D76DF0">
      <w:r>
        <w:separator/>
      </w:r>
    </w:p>
  </w:endnote>
  <w:endnote w:type="continuationSeparator" w:id="0">
    <w:p w14:paraId="79C067B9" w14:textId="77777777" w:rsidR="00D76DF0" w:rsidRDefault="00D76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Myriad Pro">
    <w:altName w:val="Segoe UI"/>
    <w:charset w:val="00"/>
    <w:family w:val="roman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AA96" w14:textId="77777777" w:rsidR="008C0269" w:rsidRDefault="00000000">
    <w:pPr>
      <w:pStyle w:val="BodyA"/>
      <w:ind w:right="360"/>
    </w:pPr>
    <w:r>
      <w:rPr>
        <w:rStyle w:val="None"/>
        <w:rFonts w:ascii="Arial Narrow" w:hAnsi="Arial Narrow"/>
        <w:color w:val="FFFFFF"/>
        <w:sz w:val="22"/>
        <w:szCs w:val="22"/>
        <w:u w:val="single" w:color="FFFFFF"/>
        <w:lang w:val="en-US"/>
      </w:rPr>
      <w:t>Website: http://www.uvt.ro/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41A4" w14:textId="77777777" w:rsidR="00D76DF0" w:rsidRDefault="00D76DF0">
      <w:r>
        <w:separator/>
      </w:r>
    </w:p>
  </w:footnote>
  <w:footnote w:type="continuationSeparator" w:id="0">
    <w:p w14:paraId="254EE332" w14:textId="77777777" w:rsidR="00D76DF0" w:rsidRDefault="00D76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799C" w14:textId="77777777" w:rsidR="008C0269" w:rsidRDefault="00000000">
    <w:pPr>
      <w:pStyle w:val="Header"/>
      <w:tabs>
        <w:tab w:val="clear" w:pos="4536"/>
        <w:tab w:val="clear" w:pos="9072"/>
      </w:tabs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3BD9D69D" wp14:editId="2F0B1EBA">
              <wp:simplePos x="0" y="0"/>
              <wp:positionH relativeFrom="page">
                <wp:posOffset>2712718</wp:posOffset>
              </wp:positionH>
              <wp:positionV relativeFrom="page">
                <wp:posOffset>619759</wp:posOffset>
              </wp:positionV>
              <wp:extent cx="4751072" cy="375921"/>
              <wp:effectExtent l="0" t="0" r="0" b="0"/>
              <wp:wrapNone/>
              <wp:docPr id="1073741825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1072" cy="37592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E417BEF" w14:textId="77777777" w:rsidR="008C0269" w:rsidRDefault="00000000">
                          <w:pPr>
                            <w:pStyle w:val="Subtitle"/>
                            <w:spacing w:after="0"/>
                            <w:jc w:val="right"/>
                            <w:rPr>
                              <w:rFonts w:ascii="Myriad Pro" w:eastAsia="Myriad Pro" w:hAnsi="Myriad Pro" w:cs="Myriad Pro"/>
                              <w:color w:val="548DD4"/>
                              <w:sz w:val="16"/>
                              <w:szCs w:val="16"/>
                              <w:u w:color="548DD4"/>
                            </w:rPr>
                          </w:pPr>
                          <w:r>
                            <w:rPr>
                              <w:rFonts w:ascii="Myriad Pro" w:eastAsia="Myriad Pro" w:hAnsi="Myriad Pro" w:cs="Myriad Pro"/>
                              <w:color w:val="548DD4"/>
                              <w:sz w:val="16"/>
                              <w:szCs w:val="16"/>
                              <w:u w:color="548DD4"/>
                            </w:rPr>
                            <w:t>MINISTERUL EDUCAȚIEI</w:t>
                          </w:r>
                        </w:p>
                        <w:p w14:paraId="113C63B5" w14:textId="77777777" w:rsidR="008C0269" w:rsidRDefault="00000000">
                          <w:pPr>
                            <w:pStyle w:val="Subtitle"/>
                            <w:spacing w:after="0"/>
                            <w:jc w:val="right"/>
                          </w:pPr>
                          <w:r>
                            <w:rPr>
                              <w:lang w:val="pt-PT"/>
                            </w:rPr>
                            <w:t>UNIVERSITATEA DE VEST DIN TIMI</w:t>
                          </w:r>
                          <w:r>
                            <w:t>Ș</w:t>
                          </w:r>
                          <w:r>
                            <w:rPr>
                              <w:lang w:val="it-IT"/>
                            </w:rPr>
                            <w:t>OARA</w:t>
                          </w:r>
                        </w:p>
                      </w:txbxContent>
                    </wps:txbx>
                    <wps:bodyPr wrap="square" lIns="45718" tIns="45718" rIns="45718" bIns="45718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213.6pt;margin-top:48.8pt;width:374.1pt;height:29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Subtitle"/>
                      <w:spacing w:after="0"/>
                      <w:jc w:val="right"/>
                      <w:rPr>
                        <w:rFonts w:ascii="Myriad Pro" w:cs="Myriad Pro" w:hAnsi="Myriad Pro" w:eastAsia="Myriad Pro"/>
                        <w:outline w:val="0"/>
                        <w:color w:val="548dd4"/>
                        <w:sz w:val="16"/>
                        <w:szCs w:val="16"/>
                        <w:u w:color="548dd4"/>
                        <w14:textFill>
                          <w14:solidFill>
                            <w14:srgbClr w14:val="548DD4"/>
                          </w14:solidFill>
                        </w14:textFill>
                      </w:rPr>
                    </w:pPr>
                    <w:r>
                      <w:rPr>
                        <w:rFonts w:ascii="Myriad Pro" w:cs="Myriad Pro" w:hAnsi="Myriad Pro" w:eastAsia="Myriad Pro"/>
                        <w:outline w:val="0"/>
                        <w:color w:val="548dd4"/>
                        <w:sz w:val="16"/>
                        <w:szCs w:val="16"/>
                        <w:u w:color="548dd4"/>
                        <w:rtl w:val="0"/>
                        <w:lang w:val="de-DE"/>
                        <w14:textFill>
                          <w14:solidFill>
                            <w14:srgbClr w14:val="548DD4"/>
                          </w14:solidFill>
                        </w14:textFill>
                      </w:rPr>
                      <w:t>MINISTERUL EDUCA</w:t>
                    </w:r>
                    <w:r>
                      <w:rPr>
                        <w:rFonts w:ascii="Myriad Pro" w:cs="Myriad Pro" w:hAnsi="Myriad Pro" w:eastAsia="Myriad Pro"/>
                        <w:outline w:val="0"/>
                        <w:color w:val="548dd4"/>
                        <w:sz w:val="16"/>
                        <w:szCs w:val="16"/>
                        <w:u w:color="548dd4"/>
                        <w:rtl w:val="0"/>
                        <w:lang w:val="de-DE"/>
                        <w14:textFill>
                          <w14:solidFill>
                            <w14:srgbClr w14:val="548DD4"/>
                          </w14:solidFill>
                        </w14:textFill>
                      </w:rPr>
                      <w:t>Ț</w:t>
                    </w:r>
                    <w:r>
                      <w:rPr>
                        <w:rFonts w:ascii="Myriad Pro" w:cs="Myriad Pro" w:hAnsi="Myriad Pro" w:eastAsia="Myriad Pro"/>
                        <w:outline w:val="0"/>
                        <w:color w:val="548dd4"/>
                        <w:sz w:val="16"/>
                        <w:szCs w:val="16"/>
                        <w:u w:color="548dd4"/>
                        <w:rtl w:val="0"/>
                        <w:lang w:val="de-DE"/>
                        <w14:textFill>
                          <w14:solidFill>
                            <w14:srgbClr w14:val="548DD4"/>
                          </w14:solidFill>
                        </w14:textFill>
                      </w:rPr>
                      <w:t>IEI</w:t>
                    </w:r>
                  </w:p>
                  <w:p>
                    <w:pPr>
                      <w:pStyle w:val="Subtitle"/>
                      <w:spacing w:after="0"/>
                      <w:jc w:val="right"/>
                    </w:pPr>
                    <w:r>
                      <w:rPr>
                        <w:rtl w:val="0"/>
                        <w:lang w:val="pt-PT"/>
                      </w:rPr>
                      <w:t>UNIVERSITATEA DE VEST DIN TIMI</w:t>
                    </w:r>
                    <w:r>
                      <w:rPr>
                        <w:rtl w:val="0"/>
                        <w:lang w:val="de-DE"/>
                      </w:rPr>
                      <w:t>Ș</w:t>
                    </w:r>
                    <w:r>
                      <w:rPr>
                        <w:rtl w:val="0"/>
                        <w:lang w:val="it-IT"/>
                      </w:rPr>
                      <w:t>OARA</w:t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58A6894E" wp14:editId="07EE56F9">
          <wp:simplePos x="0" y="0"/>
          <wp:positionH relativeFrom="page">
            <wp:posOffset>1625600</wp:posOffset>
          </wp:positionH>
          <wp:positionV relativeFrom="page">
            <wp:posOffset>1060499</wp:posOffset>
          </wp:positionV>
          <wp:extent cx="5930900" cy="38100"/>
          <wp:effectExtent l="0" t="0" r="0" b="0"/>
          <wp:wrapNone/>
          <wp:docPr id="1073741826" name="officeArt object" descr="C:\Users\Kasandra\AppData\Local\Microsoft\Windows\INetCache\Content.Word\Linie albastra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C:\Users\Kasandra\AppData\Local\Microsoft\Windows\INetCache\Content.Word\Linie albastra-01.jpg" descr="C:\Users\Kasandra\AppData\Local\Microsoft\Windows\INetCache\Content.Word\Linie albastra-01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0900" cy="381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5D8B3591" wp14:editId="4092F4D6">
          <wp:simplePos x="0" y="0"/>
          <wp:positionH relativeFrom="page">
            <wp:posOffset>457200</wp:posOffset>
          </wp:positionH>
          <wp:positionV relativeFrom="page">
            <wp:posOffset>185148</wp:posOffset>
          </wp:positionV>
          <wp:extent cx="2476500" cy="852806"/>
          <wp:effectExtent l="0" t="0" r="0" b="0"/>
          <wp:wrapNone/>
          <wp:docPr id="1073741827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icture 1" descr="Picture 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76500" cy="85280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61312" behindDoc="1" locked="0" layoutInCell="1" allowOverlap="1" wp14:anchorId="60C78491" wp14:editId="61358BCF">
              <wp:simplePos x="0" y="0"/>
              <wp:positionH relativeFrom="page">
                <wp:posOffset>30479</wp:posOffset>
              </wp:positionH>
              <wp:positionV relativeFrom="page">
                <wp:posOffset>9966959</wp:posOffset>
              </wp:positionV>
              <wp:extent cx="7486016" cy="655956"/>
              <wp:effectExtent l="0" t="0" r="0" b="0"/>
              <wp:wrapNone/>
              <wp:docPr id="1073741828" name="officeArt object" descr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486016" cy="65595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FFFFFF"/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5D1AE2B3" w14:textId="77777777" w:rsidR="008C0269" w:rsidRDefault="00000000">
                          <w:pPr>
                            <w:pStyle w:val="BodyA"/>
                            <w:jc w:val="center"/>
                            <w:rPr>
                              <w:rFonts w:ascii="Arial" w:eastAsia="Arial" w:hAnsi="Arial" w:cs="Arial"/>
                              <w:color w:val="A6A6A6"/>
                              <w:sz w:val="17"/>
                              <w:szCs w:val="17"/>
                              <w:u w:color="A6A6A6"/>
                              <w:shd w:val="clear" w:color="auto" w:fill="FFFFFF"/>
                            </w:rPr>
                          </w:pPr>
                          <w:r>
                            <w:rPr>
                              <w:rFonts w:ascii="Arial" w:hAnsi="Arial"/>
                              <w:color w:val="A6A6A6"/>
                              <w:sz w:val="17"/>
                              <w:szCs w:val="17"/>
                              <w:u w:color="A6A6A6"/>
                              <w:shd w:val="clear" w:color="auto" w:fill="FFFFFF"/>
                            </w:rPr>
                            <w:t>Adresă poștală: Bd. Vasile Pârvan nr. 4, cod poștal 300223, Timișoara, jud. Timiș</w:t>
                          </w:r>
                          <w:r>
                            <w:rPr>
                              <w:rFonts w:ascii="Arial" w:hAnsi="Arial"/>
                              <w:color w:val="A6A6A6"/>
                              <w:sz w:val="17"/>
                              <w:szCs w:val="17"/>
                              <w:u w:color="A6A6A6"/>
                              <w:shd w:val="clear" w:color="auto" w:fill="FFFFFF"/>
                              <w:lang w:val="it-IT"/>
                            </w:rPr>
                            <w:t>, Rom</w:t>
                          </w:r>
                          <w:r>
                            <w:rPr>
                              <w:rFonts w:ascii="Arial" w:hAnsi="Arial"/>
                              <w:color w:val="A6A6A6"/>
                              <w:sz w:val="17"/>
                              <w:szCs w:val="17"/>
                              <w:u w:color="A6A6A6"/>
                              <w:shd w:val="clear" w:color="auto" w:fill="FFFFFF"/>
                            </w:rPr>
                            <w:t>ânia</w:t>
                          </w:r>
                          <w:r>
                            <w:rPr>
                              <w:rFonts w:ascii="Arial Unicode MS" w:hAnsi="Arial Unicode MS"/>
                              <w:color w:val="A6A6A6"/>
                              <w:sz w:val="17"/>
                              <w:szCs w:val="17"/>
                              <w:u w:color="A6A6A6"/>
                            </w:rPr>
                            <w:br/>
                          </w:r>
                          <w:r>
                            <w:rPr>
                              <w:rFonts w:ascii="Arial" w:hAnsi="Arial"/>
                              <w:color w:val="A6A6A6"/>
                              <w:sz w:val="17"/>
                              <w:szCs w:val="17"/>
                              <w:u w:color="A6A6A6"/>
                              <w:shd w:val="clear" w:color="auto" w:fill="FFFFFF"/>
                            </w:rPr>
                            <w:t>Număr de telefon: +40-(0)256-592.300 (310)</w:t>
                          </w:r>
                        </w:p>
                        <w:p w14:paraId="6B77C717" w14:textId="77777777" w:rsidR="008C0269" w:rsidRDefault="00000000">
                          <w:pPr>
                            <w:pStyle w:val="BodyA"/>
                            <w:jc w:val="center"/>
                            <w:rPr>
                              <w:rStyle w:val="None"/>
                              <w:rFonts w:ascii="Arial" w:eastAsia="Arial" w:hAnsi="Arial" w:cs="Arial"/>
                              <w:color w:val="A6A6A6"/>
                              <w:sz w:val="17"/>
                              <w:szCs w:val="17"/>
                              <w:u w:color="A6A6A6"/>
                            </w:rPr>
                          </w:pPr>
                          <w:r>
                            <w:rPr>
                              <w:rFonts w:ascii="Arial" w:hAnsi="Arial"/>
                              <w:color w:val="A6A6A6"/>
                              <w:sz w:val="17"/>
                              <w:szCs w:val="17"/>
                              <w:u w:color="A6A6A6"/>
                            </w:rPr>
                            <w:t xml:space="preserve">Adresă de e-mail: </w:t>
                          </w:r>
                          <w:hyperlink r:id="rId3" w:history="1">
                            <w:r>
                              <w:rPr>
                                <w:rStyle w:val="Hyperlink0"/>
                              </w:rPr>
                              <w:t>secretariat@e-uvt.ro</w:t>
                            </w:r>
                          </w:hyperlink>
                          <w:r>
                            <w:rPr>
                              <w:rStyle w:val="None"/>
                              <w:rFonts w:ascii="Arial" w:hAnsi="Arial"/>
                              <w:color w:val="A6A6A6"/>
                              <w:sz w:val="17"/>
                              <w:szCs w:val="17"/>
                              <w:u w:color="A6A6A6"/>
                              <w:shd w:val="clear" w:color="auto" w:fill="FFFFFF"/>
                            </w:rPr>
                            <w:t xml:space="preserve"> </w:t>
                          </w:r>
                        </w:p>
                        <w:p w14:paraId="6D1DA3EE" w14:textId="77777777" w:rsidR="008C0269" w:rsidRDefault="00000000">
                          <w:pPr>
                            <w:pStyle w:val="BodyA"/>
                            <w:jc w:val="center"/>
                          </w:pPr>
                          <w:r>
                            <w:rPr>
                              <w:rStyle w:val="None"/>
                              <w:rFonts w:ascii="Arial" w:hAnsi="Arial"/>
                              <w:color w:val="A6A6A6"/>
                              <w:sz w:val="17"/>
                              <w:szCs w:val="17"/>
                              <w:u w:color="A6A6A6"/>
                              <w:shd w:val="clear" w:color="auto" w:fill="FFFFFF"/>
                              <w:lang w:val="en-US"/>
                            </w:rPr>
                            <w:t xml:space="preserve">Website: </w:t>
                          </w:r>
                          <w:hyperlink r:id="rId4" w:history="1">
                            <w:r>
                              <w:rPr>
                                <w:rStyle w:val="Hyperlink1"/>
                              </w:rPr>
                              <w:t>www.uvt.ro</w:t>
                            </w:r>
                          </w:hyperlink>
                        </w:p>
                      </w:txbxContent>
                    </wps:txbx>
                    <wps:bodyPr wrap="square" lIns="45718" tIns="45718" rIns="45718" bIns="45718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7" type="#_x0000_t202" style="visibility:visible;position:absolute;margin-left:2.4pt;margin-top:784.8pt;width:589.5pt;height:51.7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filltype="solid" color="#FFFFFF" opacity="100.0%" weight="0.8pt" dashstyle="solid" endcap="flat" miterlimit="8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 A"/>
                      <w:jc w:val="center"/>
                      <w:rPr>
                        <w:rFonts w:ascii="Arial" w:cs="Arial" w:hAnsi="Arial" w:eastAsia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14:textFill>
                          <w14:solidFill>
                            <w14:srgbClr w14:val="A6A6A6"/>
                          </w14:solidFill>
                        </w14:textFill>
                      </w:rPr>
                    </w:pP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Adres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 xml:space="preserve">ă 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po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ș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tal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ă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: Bd. Vasile P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â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rvan nr. 4, cod po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ș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tal 300223, Timi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ș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oara, jud. Timi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ș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it-IT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, Rom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â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nia</w:t>
                    </w:r>
                    <w:r>
                      <w:rPr>
                        <w:rFonts w:ascii="Arial Unicode MS" w:cs="Arial Unicode MS" w:hAnsi="Arial Unicode MS" w:eastAsia="Arial Unicode MS"/>
                        <w:outline w:val="0"/>
                        <w:color w:val="a6a6a6"/>
                        <w:sz w:val="17"/>
                        <w:szCs w:val="17"/>
                        <w:u w:color="a6a6a6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br w:type="textWrapping"/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Num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ă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r de telefon: +40-(0)256-592.300 (310)</w:t>
                    </w:r>
                    <w:r>
                      <w:rPr>
                        <w:rFonts w:ascii="Arial" w:cs="Arial" w:hAnsi="Arial" w:eastAsia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14:textFill>
                          <w14:solidFill>
                            <w14:srgbClr w14:val="A6A6A6"/>
                          </w14:solidFill>
                        </w14:textFill>
                      </w:rPr>
                    </w:r>
                  </w:p>
                  <w:p>
                    <w:pPr>
                      <w:pStyle w:val="Body A"/>
                      <w:jc w:val="center"/>
                      <w:rPr>
                        <w:rStyle w:val="None"/>
                        <w:rFonts w:ascii="Arial" w:cs="Arial" w:hAnsi="Arial" w:eastAsia="Arial"/>
                        <w:outline w:val="0"/>
                        <w:color w:val="a6a6a6"/>
                        <w:sz w:val="17"/>
                        <w:szCs w:val="17"/>
                        <w:u w:color="a6a6a6"/>
                        <w14:textFill>
                          <w14:solidFill>
                            <w14:srgbClr w14:val="A6A6A6"/>
                          </w14:solidFill>
                        </w14:textFill>
                      </w:rPr>
                    </w:pP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>Adres</w:t>
                    </w:r>
                    <w:r>
                      <w:rPr>
                        <w:rFonts w:ascii="Arial" w:hAnsi="Arial" w:hint="default"/>
                        <w:outline w:val="0"/>
                        <w:color w:val="a6a6a6"/>
                        <w:sz w:val="17"/>
                        <w:szCs w:val="17"/>
                        <w:u w:color="a6a6a6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 xml:space="preserve">ă </w:t>
                    </w:r>
                    <w:r>
                      <w:rPr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 xml:space="preserve">de e-mail: </w:t>
                    </w: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"mailto:secretariat@e-uvt.ro"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  <w:lang w:val="de-DE"/>
                      </w:rPr>
                      <w:t>secretariat@e-uvt.ro</w:t>
                    </w:r>
                    <w:r>
                      <w:rPr/>
                      <w:fldChar w:fldCharType="end" w:fldLock="0"/>
                    </w:r>
                    <w:r>
                      <w:rPr>
                        <w:rStyle w:val="None"/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 xml:space="preserve"> </w:t>
                    </w:r>
                    <w:r>
                      <w:rPr>
                        <w:rStyle w:val="None"/>
                        <w:rFonts w:ascii="Arial" w:cs="Arial" w:hAnsi="Arial" w:eastAsia="Arial"/>
                        <w:outline w:val="0"/>
                        <w:color w:val="a6a6a6"/>
                        <w:sz w:val="17"/>
                        <w:szCs w:val="17"/>
                        <w:u w:color="a6a6a6"/>
                        <w14:textFill>
                          <w14:solidFill>
                            <w14:srgbClr w14:val="A6A6A6"/>
                          </w14:solidFill>
                        </w14:textFill>
                      </w:rPr>
                    </w:r>
                  </w:p>
                  <w:p>
                    <w:pPr>
                      <w:pStyle w:val="Body A"/>
                      <w:jc w:val="center"/>
                    </w:pPr>
                    <w:r>
                      <w:rPr>
                        <w:rStyle w:val="None"/>
                        <w:rFonts w:ascii="Arial" w:hAnsi="Arial"/>
                        <w:outline w:val="0"/>
                        <w:color w:val="a6a6a6"/>
                        <w:sz w:val="17"/>
                        <w:szCs w:val="17"/>
                        <w:u w:color="a6a6a6"/>
                        <w:shd w:val="clear" w:color="auto" w:fill="ffffff"/>
                        <w:rtl w:val="0"/>
                        <w:lang w:val="en-US"/>
                        <w14:textFill>
                          <w14:solidFill>
                            <w14:srgbClr w14:val="A6A6A6"/>
                          </w14:solidFill>
                        </w14:textFill>
                      </w:rPr>
                      <w:t xml:space="preserve">Website: </w:t>
                    </w:r>
                    <w:r>
                      <w:rPr>
                        <w:rStyle w:val="Hyperlink.1"/>
                        <w:rFonts w:ascii="Arial" w:cs="Arial" w:hAnsi="Arial" w:eastAsia="Arial"/>
                        <w:outline w:val="0"/>
                        <w:color w:val="0000ff"/>
                        <w:sz w:val="17"/>
                        <w:szCs w:val="17"/>
                        <w:u w:val="single" w:color="0000ff"/>
                        <w:shd w:val="clear" w:color="auto" w:fill="ffffff"/>
                        <w:lang w:val="de-DE"/>
                        <w14:textFill>
                          <w14:solidFill>
                            <w14:srgbClr w14:val="0000FF"/>
                          </w14:solidFill>
                        </w14:textFill>
                      </w:rPr>
                      <w:fldChar w:fldCharType="begin" w:fldLock="0"/>
                    </w:r>
                    <w:r>
                      <w:rPr>
                        <w:rStyle w:val="Hyperlink.1"/>
                        <w:rFonts w:ascii="Arial" w:cs="Arial" w:hAnsi="Arial" w:eastAsia="Arial"/>
                        <w:outline w:val="0"/>
                        <w:color w:val="0000ff"/>
                        <w:sz w:val="17"/>
                        <w:szCs w:val="17"/>
                        <w:u w:val="single" w:color="0000ff"/>
                        <w:shd w:val="clear" w:color="auto" w:fill="ffffff"/>
                        <w:lang w:val="de-DE"/>
                        <w14:textFill>
                          <w14:solidFill>
                            <w14:srgbClr w14:val="0000FF"/>
                          </w14:solidFill>
                        </w14:textFill>
                      </w:rPr>
                      <w:instrText xml:space="preserve"> HYPERLINK "http://www.uvt.ro"</w:instrText>
                    </w:r>
                    <w:r>
                      <w:rPr>
                        <w:rStyle w:val="Hyperlink.1"/>
                        <w:rFonts w:ascii="Arial" w:cs="Arial" w:hAnsi="Arial" w:eastAsia="Arial"/>
                        <w:outline w:val="0"/>
                        <w:color w:val="0000ff"/>
                        <w:sz w:val="17"/>
                        <w:szCs w:val="17"/>
                        <w:u w:val="single" w:color="0000ff"/>
                        <w:shd w:val="clear" w:color="auto" w:fill="ffffff"/>
                        <w:lang w:val="de-DE"/>
                        <w14:textFill>
                          <w14:solidFill>
                            <w14:srgbClr w14:val="0000FF"/>
                          </w14:solidFill>
                        </w14:textFill>
                      </w:rPr>
                      <w:fldChar w:fldCharType="separate" w:fldLock="0"/>
                    </w:r>
                    <w:r>
                      <w:rPr>
                        <w:rStyle w:val="Hyperlink.1"/>
                        <w:rFonts w:ascii="Arial" w:hAnsi="Arial"/>
                        <w:outline w:val="0"/>
                        <w:color w:val="0000ff"/>
                        <w:sz w:val="17"/>
                        <w:szCs w:val="17"/>
                        <w:u w:val="single" w:color="0000ff"/>
                        <w:shd w:val="clear" w:color="auto" w:fill="ffffff"/>
                        <w:rtl w:val="0"/>
                        <w:lang w:val="de-DE"/>
                        <w14:textFill>
                          <w14:solidFill>
                            <w14:srgbClr w14:val="0000FF"/>
                          </w14:solidFill>
                        </w14:textFill>
                      </w:rPr>
                      <w:t>www.uvt.ro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B450E"/>
    <w:multiLevelType w:val="hybridMultilevel"/>
    <w:tmpl w:val="F3C436A6"/>
    <w:lvl w:ilvl="0" w:tplc="E89C70CE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12DE44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D26EB0">
      <w:start w:val="1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56C9DC">
      <w:start w:val="1"/>
      <w:numFmt w:val="bullet"/>
      <w:lvlText w:val="•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720370">
      <w:start w:val="1"/>
      <w:numFmt w:val="bullet"/>
      <w:lvlText w:val="•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CC6F02">
      <w:start w:val="1"/>
      <w:numFmt w:val="bullet"/>
      <w:lvlText w:val="•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E1A62B4">
      <w:start w:val="1"/>
      <w:numFmt w:val="bullet"/>
      <w:lvlText w:val="•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483044">
      <w:start w:val="1"/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BC3B0C">
      <w:start w:val="1"/>
      <w:numFmt w:val="bullet"/>
      <w:lvlText w:val="•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23D6621"/>
    <w:multiLevelType w:val="hybridMultilevel"/>
    <w:tmpl w:val="AFBAF228"/>
    <w:lvl w:ilvl="0" w:tplc="7D802532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88E580">
      <w:start w:val="1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6278E2">
      <w:start w:val="1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DCA0DC">
      <w:start w:val="1"/>
      <w:numFmt w:val="bullet"/>
      <w:lvlText w:val="•"/>
      <w:lvlJc w:val="left"/>
      <w:pPr>
        <w:ind w:left="25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92152C">
      <w:start w:val="1"/>
      <w:numFmt w:val="bullet"/>
      <w:lvlText w:val="•"/>
      <w:lvlJc w:val="left"/>
      <w:pPr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9E17F4">
      <w:start w:val="1"/>
      <w:numFmt w:val="bullet"/>
      <w:lvlText w:val="•"/>
      <w:lvlJc w:val="left"/>
      <w:pPr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76B090">
      <w:start w:val="1"/>
      <w:numFmt w:val="bullet"/>
      <w:lvlText w:val="•"/>
      <w:lvlJc w:val="left"/>
      <w:pPr>
        <w:ind w:left="46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6A010A6">
      <w:start w:val="1"/>
      <w:numFmt w:val="bullet"/>
      <w:lvlText w:val="•"/>
      <w:lvlJc w:val="left"/>
      <w:pPr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A0F2DC">
      <w:start w:val="1"/>
      <w:numFmt w:val="bullet"/>
      <w:lvlText w:val="•"/>
      <w:lvlJc w:val="left"/>
      <w:pPr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1C00557"/>
    <w:multiLevelType w:val="hybridMultilevel"/>
    <w:tmpl w:val="FAEE24A2"/>
    <w:lvl w:ilvl="0" w:tplc="9D00B8A6">
      <w:start w:val="1"/>
      <w:numFmt w:val="bullet"/>
      <w:lvlText w:val="•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545ECA">
      <w:start w:val="1"/>
      <w:numFmt w:val="bullet"/>
      <w:lvlText w:val="•"/>
      <w:lvlJc w:val="left"/>
      <w:pPr>
        <w:ind w:left="82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542186">
      <w:start w:val="1"/>
      <w:numFmt w:val="bullet"/>
      <w:lvlText w:val="•"/>
      <w:lvlJc w:val="left"/>
      <w:pPr>
        <w:ind w:left="154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687F56">
      <w:start w:val="1"/>
      <w:numFmt w:val="bullet"/>
      <w:lvlText w:val="•"/>
      <w:lvlJc w:val="left"/>
      <w:pPr>
        <w:ind w:left="226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2CAC34">
      <w:start w:val="1"/>
      <w:numFmt w:val="bullet"/>
      <w:lvlText w:val="•"/>
      <w:lvlJc w:val="left"/>
      <w:pPr>
        <w:ind w:left="298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DC1B2E">
      <w:start w:val="1"/>
      <w:numFmt w:val="bullet"/>
      <w:lvlText w:val="•"/>
      <w:lvlJc w:val="left"/>
      <w:pPr>
        <w:ind w:left="370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18DCA4">
      <w:start w:val="1"/>
      <w:numFmt w:val="bullet"/>
      <w:lvlText w:val="•"/>
      <w:lvlJc w:val="left"/>
      <w:pPr>
        <w:ind w:left="442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E07492">
      <w:start w:val="1"/>
      <w:numFmt w:val="bullet"/>
      <w:lvlText w:val="•"/>
      <w:lvlJc w:val="left"/>
      <w:pPr>
        <w:ind w:left="514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D493E2">
      <w:start w:val="1"/>
      <w:numFmt w:val="bullet"/>
      <w:lvlText w:val="•"/>
      <w:lvlJc w:val="left"/>
      <w:pPr>
        <w:ind w:left="586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C6E31DD"/>
    <w:multiLevelType w:val="multilevel"/>
    <w:tmpl w:val="46E08388"/>
    <w:styleLink w:val="ImportedStyle1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90" w:hanging="1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140" w:hanging="7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90" w:hanging="1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530" w:hanging="117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90" w:hanging="1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920" w:hanging="15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90" w:hanging="13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310" w:hanging="195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87E7500"/>
    <w:multiLevelType w:val="hybridMultilevel"/>
    <w:tmpl w:val="9D0C83CA"/>
    <w:lvl w:ilvl="0" w:tplc="6E32E552">
      <w:start w:val="1"/>
      <w:numFmt w:val="bullet"/>
      <w:lvlText w:val="•"/>
      <w:lvlJc w:val="left"/>
      <w:pPr>
        <w:ind w:left="31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26D954">
      <w:start w:val="1"/>
      <w:numFmt w:val="bullet"/>
      <w:lvlText w:val="•"/>
      <w:lvlJc w:val="left"/>
      <w:pPr>
        <w:ind w:left="103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0A9F56">
      <w:start w:val="1"/>
      <w:numFmt w:val="bullet"/>
      <w:lvlText w:val="•"/>
      <w:lvlJc w:val="left"/>
      <w:pPr>
        <w:ind w:left="175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4EFA46">
      <w:start w:val="1"/>
      <w:numFmt w:val="bullet"/>
      <w:lvlText w:val="•"/>
      <w:lvlJc w:val="left"/>
      <w:pPr>
        <w:ind w:left="247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E21D7A">
      <w:start w:val="1"/>
      <w:numFmt w:val="bullet"/>
      <w:lvlText w:val="•"/>
      <w:lvlJc w:val="left"/>
      <w:pPr>
        <w:ind w:left="319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CEFAA0">
      <w:start w:val="1"/>
      <w:numFmt w:val="bullet"/>
      <w:lvlText w:val="•"/>
      <w:lvlJc w:val="left"/>
      <w:pPr>
        <w:ind w:left="391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480F298">
      <w:start w:val="1"/>
      <w:numFmt w:val="bullet"/>
      <w:lvlText w:val="•"/>
      <w:lvlJc w:val="left"/>
      <w:pPr>
        <w:ind w:left="463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503D84">
      <w:start w:val="1"/>
      <w:numFmt w:val="bullet"/>
      <w:lvlText w:val="•"/>
      <w:lvlJc w:val="left"/>
      <w:pPr>
        <w:ind w:left="535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508552">
      <w:start w:val="1"/>
      <w:numFmt w:val="bullet"/>
      <w:lvlText w:val="•"/>
      <w:lvlJc w:val="left"/>
      <w:pPr>
        <w:ind w:left="6072" w:hanging="3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92C059C"/>
    <w:multiLevelType w:val="multilevel"/>
    <w:tmpl w:val="46E08388"/>
    <w:numStyleLink w:val="ImportedStyle1"/>
  </w:abstractNum>
  <w:abstractNum w:abstractNumId="6" w15:restartNumberingAfterBreak="0">
    <w:nsid w:val="45A50A51"/>
    <w:multiLevelType w:val="hybridMultilevel"/>
    <w:tmpl w:val="E3DE387A"/>
    <w:lvl w:ilvl="0" w:tplc="13B2FD74">
      <w:start w:val="1"/>
      <w:numFmt w:val="bullet"/>
      <w:lvlText w:val="•"/>
      <w:lvlJc w:val="left"/>
      <w:pPr>
        <w:ind w:left="1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EA4894">
      <w:start w:val="1"/>
      <w:numFmt w:val="bullet"/>
      <w:lvlText w:val="•"/>
      <w:lvlJc w:val="left"/>
      <w:pPr>
        <w:ind w:left="8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842150">
      <w:start w:val="1"/>
      <w:numFmt w:val="bullet"/>
      <w:lvlText w:val="•"/>
      <w:lvlJc w:val="left"/>
      <w:pPr>
        <w:ind w:left="158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064D2">
      <w:start w:val="1"/>
      <w:numFmt w:val="bullet"/>
      <w:lvlText w:val="•"/>
      <w:lvlJc w:val="left"/>
      <w:pPr>
        <w:ind w:left="230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2AE8F6">
      <w:start w:val="1"/>
      <w:numFmt w:val="bullet"/>
      <w:lvlText w:val="•"/>
      <w:lvlJc w:val="left"/>
      <w:pPr>
        <w:ind w:left="302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6E744C">
      <w:start w:val="1"/>
      <w:numFmt w:val="bullet"/>
      <w:lvlText w:val="•"/>
      <w:lvlJc w:val="left"/>
      <w:pPr>
        <w:ind w:left="37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18E076">
      <w:start w:val="1"/>
      <w:numFmt w:val="bullet"/>
      <w:lvlText w:val="•"/>
      <w:lvlJc w:val="left"/>
      <w:pPr>
        <w:ind w:left="44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78A8EC">
      <w:start w:val="1"/>
      <w:numFmt w:val="bullet"/>
      <w:lvlText w:val="•"/>
      <w:lvlJc w:val="left"/>
      <w:pPr>
        <w:ind w:left="518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1C1F5A">
      <w:start w:val="1"/>
      <w:numFmt w:val="bullet"/>
      <w:lvlText w:val="•"/>
      <w:lvlJc w:val="left"/>
      <w:pPr>
        <w:ind w:left="590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AB21B16"/>
    <w:multiLevelType w:val="hybridMultilevel"/>
    <w:tmpl w:val="C21648D2"/>
    <w:lvl w:ilvl="0" w:tplc="36B2B630">
      <w:start w:val="1"/>
      <w:numFmt w:val="bullet"/>
      <w:lvlText w:val="•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C824EE">
      <w:start w:val="1"/>
      <w:numFmt w:val="bullet"/>
      <w:lvlText w:val="•"/>
      <w:lvlJc w:val="left"/>
      <w:pPr>
        <w:ind w:left="82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467554">
      <w:start w:val="1"/>
      <w:numFmt w:val="bullet"/>
      <w:lvlText w:val="•"/>
      <w:lvlJc w:val="left"/>
      <w:pPr>
        <w:ind w:left="154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1A5B44">
      <w:start w:val="1"/>
      <w:numFmt w:val="bullet"/>
      <w:lvlText w:val="•"/>
      <w:lvlJc w:val="left"/>
      <w:pPr>
        <w:ind w:left="226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4C1EE2">
      <w:start w:val="1"/>
      <w:numFmt w:val="bullet"/>
      <w:lvlText w:val="•"/>
      <w:lvlJc w:val="left"/>
      <w:pPr>
        <w:ind w:left="298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AEED7A">
      <w:start w:val="1"/>
      <w:numFmt w:val="bullet"/>
      <w:lvlText w:val="•"/>
      <w:lvlJc w:val="left"/>
      <w:pPr>
        <w:ind w:left="370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446758">
      <w:start w:val="1"/>
      <w:numFmt w:val="bullet"/>
      <w:lvlText w:val="•"/>
      <w:lvlJc w:val="left"/>
      <w:pPr>
        <w:ind w:left="442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6C3770">
      <w:start w:val="1"/>
      <w:numFmt w:val="bullet"/>
      <w:lvlText w:val="•"/>
      <w:lvlJc w:val="left"/>
      <w:pPr>
        <w:ind w:left="514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E8CC4A">
      <w:start w:val="1"/>
      <w:numFmt w:val="bullet"/>
      <w:lvlText w:val="•"/>
      <w:lvlJc w:val="left"/>
      <w:pPr>
        <w:ind w:left="5866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F9E6E62"/>
    <w:multiLevelType w:val="multilevel"/>
    <w:tmpl w:val="0C42A8C6"/>
    <w:lvl w:ilvl="0">
      <w:start w:val="1"/>
      <w:numFmt w:val="decimal"/>
      <w:lvlText w:val="%1."/>
      <w:lvlJc w:val="left"/>
      <w:pPr>
        <w:ind w:left="303" w:hanging="3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1E14C34"/>
    <w:multiLevelType w:val="hybridMultilevel"/>
    <w:tmpl w:val="61103A94"/>
    <w:lvl w:ilvl="0" w:tplc="C9D8D76C">
      <w:start w:val="1"/>
      <w:numFmt w:val="bullet"/>
      <w:lvlText w:val="•"/>
      <w:lvlJc w:val="left"/>
      <w:pPr>
        <w:ind w:left="1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4A6928">
      <w:start w:val="1"/>
      <w:numFmt w:val="bullet"/>
      <w:lvlText w:val="•"/>
      <w:lvlJc w:val="left"/>
      <w:pPr>
        <w:ind w:left="8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53889CE">
      <w:start w:val="1"/>
      <w:numFmt w:val="bullet"/>
      <w:lvlText w:val="•"/>
      <w:lvlJc w:val="left"/>
      <w:pPr>
        <w:ind w:left="158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EC772C">
      <w:start w:val="1"/>
      <w:numFmt w:val="bullet"/>
      <w:lvlText w:val="•"/>
      <w:lvlJc w:val="left"/>
      <w:pPr>
        <w:ind w:left="230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C76D704">
      <w:start w:val="1"/>
      <w:numFmt w:val="bullet"/>
      <w:lvlText w:val="•"/>
      <w:lvlJc w:val="left"/>
      <w:pPr>
        <w:ind w:left="302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10A8DE">
      <w:start w:val="1"/>
      <w:numFmt w:val="bullet"/>
      <w:lvlText w:val="•"/>
      <w:lvlJc w:val="left"/>
      <w:pPr>
        <w:ind w:left="374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061428">
      <w:start w:val="1"/>
      <w:numFmt w:val="bullet"/>
      <w:lvlText w:val="•"/>
      <w:lvlJc w:val="left"/>
      <w:pPr>
        <w:ind w:left="446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ECC0CE">
      <w:start w:val="1"/>
      <w:numFmt w:val="bullet"/>
      <w:lvlText w:val="•"/>
      <w:lvlJc w:val="left"/>
      <w:pPr>
        <w:ind w:left="518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3C6B7A">
      <w:start w:val="1"/>
      <w:numFmt w:val="bullet"/>
      <w:lvlText w:val="•"/>
      <w:lvlJc w:val="left"/>
      <w:pPr>
        <w:ind w:left="5902" w:hanging="14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19282406">
    <w:abstractNumId w:val="3"/>
  </w:num>
  <w:num w:numId="2" w16cid:durableId="580872071">
    <w:abstractNumId w:val="5"/>
  </w:num>
  <w:num w:numId="3" w16cid:durableId="700084547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82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598" w:hanging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40"/>
          </w:tabs>
          <w:ind w:left="1248" w:hanging="8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598" w:hanging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530"/>
          </w:tabs>
          <w:ind w:left="1638" w:hanging="12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598" w:hanging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920"/>
          </w:tabs>
          <w:ind w:left="2028" w:hanging="16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598" w:hanging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2310"/>
          </w:tabs>
          <w:ind w:left="2418" w:hanging="20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33761954">
    <w:abstractNumId w:val="8"/>
  </w:num>
  <w:num w:numId="5" w16cid:durableId="528106990">
    <w:abstractNumId w:val="5"/>
    <w:lvlOverride w:ilvl="0">
      <w:startOverride w:val="2"/>
    </w:lvlOverride>
  </w:num>
  <w:num w:numId="6" w16cid:durableId="668946099">
    <w:abstractNumId w:val="5"/>
    <w:lvlOverride w:ilvl="0">
      <w:startOverride w:val="3"/>
    </w:lvlOverride>
  </w:num>
  <w:num w:numId="7" w16cid:durableId="1423528235">
    <w:abstractNumId w:val="5"/>
    <w:lvlOverride w:ilvl="0">
      <w:startOverride w:val="3"/>
    </w:lvlOverride>
  </w:num>
  <w:num w:numId="8" w16cid:durableId="976683592">
    <w:abstractNumId w:val="5"/>
    <w:lvlOverride w:ilvl="0">
      <w:startOverride w:val="4"/>
    </w:lvlOverride>
  </w:num>
  <w:num w:numId="9" w16cid:durableId="702631911">
    <w:abstractNumId w:val="5"/>
    <w:lvlOverride w:ilvl="0">
      <w:startOverride w:val="5"/>
    </w:lvlOverride>
  </w:num>
  <w:num w:numId="10" w16cid:durableId="882979021">
    <w:abstractNumId w:val="2"/>
  </w:num>
  <w:num w:numId="11" w16cid:durableId="1602448275">
    <w:abstractNumId w:val="7"/>
  </w:num>
  <w:num w:numId="12" w16cid:durableId="144053427">
    <w:abstractNumId w:val="5"/>
    <w:lvlOverride w:ilvl="0">
      <w:startOverride w:val="6"/>
    </w:lvlOverride>
  </w:num>
  <w:num w:numId="13" w16cid:durableId="338240455">
    <w:abstractNumId w:val="1"/>
  </w:num>
  <w:num w:numId="14" w16cid:durableId="732393961">
    <w:abstractNumId w:val="0"/>
  </w:num>
  <w:num w:numId="15" w16cid:durableId="609044958">
    <w:abstractNumId w:val="4"/>
  </w:num>
  <w:num w:numId="16" w16cid:durableId="151143717">
    <w:abstractNumId w:val="5"/>
    <w:lvlOverride w:ilvl="0">
      <w:startOverride w:val="7"/>
    </w:lvlOverride>
  </w:num>
  <w:num w:numId="17" w16cid:durableId="1713462039">
    <w:abstractNumId w:val="5"/>
    <w:lvlOverride w:ilvl="0">
      <w:startOverride w:val="8"/>
    </w:lvlOverride>
  </w:num>
  <w:num w:numId="18" w16cid:durableId="553199616">
    <w:abstractNumId w:val="5"/>
    <w:lvlOverride w:ilvl="0">
      <w:startOverride w:val="9"/>
    </w:lvlOverride>
  </w:num>
  <w:num w:numId="19" w16cid:durableId="1318846954">
    <w:abstractNumId w:val="9"/>
  </w:num>
  <w:num w:numId="20" w16cid:durableId="10597479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269"/>
    <w:rsid w:val="008C0269"/>
    <w:rsid w:val="00C55670"/>
    <w:rsid w:val="00D7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39B58"/>
  <w15:docId w15:val="{8A7AD692-3765-491A-8ABC-2779FAC36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ubtitle">
    <w:name w:val="Subtitle"/>
    <w:next w:val="BodyA"/>
    <w:uiPriority w:val="11"/>
    <w:qFormat/>
    <w:pPr>
      <w:spacing w:after="160"/>
    </w:pPr>
    <w:rPr>
      <w:rFonts w:ascii="Calibri" w:eastAsia="Calibri" w:hAnsi="Calibri" w:cs="Calibri"/>
      <w:color w:val="5A5A5A"/>
      <w:spacing w:val="15"/>
      <w:sz w:val="22"/>
      <w:szCs w:val="22"/>
      <w:u w:color="5A5A5A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outline w:val="0"/>
      <w:color w:val="0000FF"/>
      <w:sz w:val="17"/>
      <w:szCs w:val="17"/>
      <w:u w:val="single" w:color="0000FF"/>
      <w:shd w:val="clear" w:color="auto" w:fill="FFFFFF"/>
    </w:rPr>
  </w:style>
  <w:style w:type="character" w:customStyle="1" w:styleId="Hyperlink1">
    <w:name w:val="Hyperlink.1"/>
    <w:basedOn w:val="None"/>
    <w:rPr>
      <w:rFonts w:ascii="Arial" w:eastAsia="Arial" w:hAnsi="Arial" w:cs="Arial"/>
      <w:outline w:val="0"/>
      <w:color w:val="0000FF"/>
      <w:sz w:val="17"/>
      <w:szCs w:val="17"/>
      <w:u w:val="single" w:color="0000FF"/>
      <w:shd w:val="clear" w:color="auto" w:fill="FFFFFF"/>
      <w:lang w:val="de-DE"/>
    </w:rPr>
  </w:style>
  <w:style w:type="paragraph" w:styleId="ListParagraph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NoSpacing">
    <w:name w:val="No Spacing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ableStyle3A">
    <w:name w:val="Table Style 3 A"/>
    <w:rPr>
      <w:rFonts w:ascii="Helvetica Neue" w:hAnsi="Helvetica Neue" w:cs="Arial Unicode MS"/>
      <w:b/>
      <w:bCs/>
      <w:color w:val="FFFFFF"/>
      <w:u w:color="FFFFFF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cretariat@e-uvt.r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hyperlink" Target="http://www.uvt.ro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Calibri"/>
        <a:ea typeface="Calibri"/>
        <a:cs typeface="Calibri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1608</Words>
  <Characters>10507</Characters>
  <Application>Microsoft Office Word</Application>
  <DocSecurity>0</DocSecurity>
  <Lines>389</Lines>
  <Paragraphs>242</Paragraphs>
  <ScaleCrop>false</ScaleCrop>
  <Company/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Delia Virga</cp:lastModifiedBy>
  <cp:revision>3</cp:revision>
  <dcterms:created xsi:type="dcterms:W3CDTF">2023-09-11T06:40:00Z</dcterms:created>
  <dcterms:modified xsi:type="dcterms:W3CDTF">2023-09-11T06:40:00Z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295564efcb32b4391574feb01f094532a1cd98253ef8965b0bf0055fe8a523dd</vt:lpwstr>
  </property>
</Properties>
</file>